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34D" w:rsidRPr="00787046" w:rsidRDefault="00787046" w:rsidP="000826E4">
      <w:pPr>
        <w:pStyle w:val="Corpotesto"/>
        <w:ind w:left="709"/>
        <w:rPr>
          <w:rFonts w:ascii="Times New Roman"/>
          <w:sz w:val="20"/>
          <w:lang w:val="it-IT"/>
        </w:rPr>
      </w:pPr>
      <w:bookmarkStart w:id="0" w:name="_GoBack"/>
      <w:bookmarkEnd w:id="0"/>
      <w:r w:rsidRPr="00787046">
        <w:rPr>
          <w:rFonts w:ascii="Times New Roman"/>
          <w:sz w:val="20"/>
          <w:lang w:val="it-IT"/>
        </w:rPr>
        <w:t xml:space="preserve">Consiglio di Dipartimento di Medicina </w:t>
      </w:r>
      <w:r>
        <w:rPr>
          <w:rFonts w:ascii="Times New Roman"/>
          <w:sz w:val="20"/>
          <w:lang w:val="it-IT"/>
        </w:rPr>
        <w:t xml:space="preserve">Clinica e Sperimentale del </w:t>
      </w:r>
      <w:proofErr w:type="gramStart"/>
      <w:r>
        <w:rPr>
          <w:rFonts w:ascii="Times New Roman"/>
          <w:sz w:val="20"/>
          <w:lang w:val="it-IT"/>
        </w:rPr>
        <w:t>16.10.2019  -</w:t>
      </w:r>
      <w:proofErr w:type="gramEnd"/>
      <w:r>
        <w:rPr>
          <w:rFonts w:ascii="Times New Roman"/>
          <w:sz w:val="20"/>
          <w:lang w:val="it-IT"/>
        </w:rPr>
        <w:t xml:space="preserve"> all. 14/c</w:t>
      </w:r>
    </w:p>
    <w:p w:rsidR="00F0434D" w:rsidRPr="00787046" w:rsidRDefault="00F0434D">
      <w:pPr>
        <w:pStyle w:val="Corpotesto"/>
        <w:rPr>
          <w:rFonts w:ascii="Times New Roman"/>
          <w:sz w:val="20"/>
          <w:lang w:val="it-IT"/>
        </w:rPr>
      </w:pPr>
    </w:p>
    <w:p w:rsidR="00F0434D" w:rsidRPr="004132B5" w:rsidRDefault="00F0434D">
      <w:pPr>
        <w:pStyle w:val="Corpotesto"/>
        <w:spacing w:before="9"/>
        <w:rPr>
          <w:rFonts w:ascii="Georgia"/>
          <w:sz w:val="22"/>
          <w:lang w:val="it-IT"/>
        </w:rPr>
      </w:pPr>
    </w:p>
    <w:p w:rsidR="00F0434D" w:rsidRPr="004132B5" w:rsidRDefault="00783421">
      <w:pPr>
        <w:pStyle w:val="Titolo1"/>
        <w:ind w:left="2263"/>
        <w:rPr>
          <w:lang w:val="it-IT"/>
        </w:rPr>
      </w:pPr>
      <w:r w:rsidRPr="004132B5">
        <w:rPr>
          <w:w w:val="105"/>
          <w:lang w:val="it-IT"/>
        </w:rPr>
        <w:t>PROPOSTA PROGETTO DIPARTIMENTI DI ECCELLENZA</w:t>
      </w:r>
    </w:p>
    <w:p w:rsidR="00F0434D" w:rsidRPr="004132B5" w:rsidRDefault="00F0434D">
      <w:pPr>
        <w:pStyle w:val="Corpotesto"/>
        <w:rPr>
          <w:b/>
          <w:sz w:val="24"/>
          <w:lang w:val="it-IT"/>
        </w:rPr>
      </w:pPr>
    </w:p>
    <w:p w:rsidR="00F0434D" w:rsidRPr="004132B5" w:rsidRDefault="00783421">
      <w:pPr>
        <w:pStyle w:val="Titolo1"/>
        <w:rPr>
          <w:lang w:val="it-IT"/>
        </w:rPr>
      </w:pPr>
      <w:r w:rsidRPr="004132B5">
        <w:rPr>
          <w:w w:val="105"/>
          <w:lang w:val="it-IT"/>
        </w:rPr>
        <w:t>TITOLO DEL PROGETTO:</w:t>
      </w:r>
    </w:p>
    <w:p w:rsidR="00F0434D" w:rsidRPr="004132B5" w:rsidRDefault="00783421">
      <w:pPr>
        <w:pStyle w:val="Corpotesto"/>
        <w:spacing w:before="133" w:line="266" w:lineRule="auto"/>
        <w:ind w:left="717" w:right="712"/>
        <w:jc w:val="both"/>
        <w:rPr>
          <w:lang w:val="it-IT"/>
        </w:rPr>
      </w:pPr>
      <w:r w:rsidRPr="004132B5">
        <w:rPr>
          <w:w w:val="105"/>
          <w:lang w:val="it-IT"/>
        </w:rPr>
        <w:t>IMPATTO DELLA DEPRESSIONE NELLA MALATTIA DI ALZHEIMER E NELLE PATOLOGIE CARDIACHE: EVIDENZE SU MODELLO ANIMALE E VALUTAZIONE CLINICA.</w:t>
      </w:r>
    </w:p>
    <w:p w:rsidR="00F0434D" w:rsidRPr="004132B5" w:rsidRDefault="00F0434D">
      <w:pPr>
        <w:pStyle w:val="Corpotesto"/>
        <w:rPr>
          <w:sz w:val="24"/>
          <w:lang w:val="it-IT"/>
        </w:rPr>
      </w:pPr>
    </w:p>
    <w:p w:rsidR="00F0434D" w:rsidRPr="004132B5" w:rsidRDefault="00F0434D">
      <w:pPr>
        <w:pStyle w:val="Corpotesto"/>
        <w:spacing w:before="9"/>
        <w:rPr>
          <w:sz w:val="23"/>
          <w:lang w:val="it-IT"/>
        </w:rPr>
      </w:pPr>
    </w:p>
    <w:p w:rsidR="00F0434D" w:rsidRPr="004132B5" w:rsidRDefault="00783421">
      <w:pPr>
        <w:pStyle w:val="Titolo1"/>
        <w:rPr>
          <w:lang w:val="it-IT"/>
        </w:rPr>
      </w:pPr>
      <w:r w:rsidRPr="004132B5">
        <w:rPr>
          <w:w w:val="105"/>
          <w:lang w:val="it-IT"/>
        </w:rPr>
        <w:t>DESCRIZIONE DELLE ATTIVITA’ PROGETTUALI</w:t>
      </w:r>
    </w:p>
    <w:p w:rsidR="00F0434D" w:rsidRPr="004132B5" w:rsidRDefault="00783421">
      <w:pPr>
        <w:pStyle w:val="Corpotesto"/>
        <w:spacing w:before="133" w:line="268" w:lineRule="auto"/>
        <w:ind w:left="717" w:right="708"/>
        <w:jc w:val="both"/>
        <w:rPr>
          <w:lang w:val="it-IT"/>
        </w:rPr>
      </w:pPr>
      <w:r w:rsidRPr="004132B5">
        <w:rPr>
          <w:w w:val="105"/>
          <w:u w:val="single"/>
          <w:lang w:val="it-IT"/>
        </w:rPr>
        <w:t>INTRODUZIONE.</w:t>
      </w:r>
      <w:r w:rsidRPr="004132B5">
        <w:rPr>
          <w:w w:val="105"/>
          <w:lang w:val="it-IT"/>
        </w:rPr>
        <w:t xml:space="preserve"> La depressione rappresenta un problema globale di salute pubblica, soprattutto nella popolazione anziana, sia per motivi epidemiologici per la sua elevata incidenza e frequenza in questa fascia di popolazione, sia per motivi sociali in quanto si associa frequentemente ad uno stato di disabilità sociale e funzionale e di perdita di autonomia ed autosufficienza per chi ne è affetto (Assal and </w:t>
      </w:r>
      <w:proofErr w:type="spellStart"/>
      <w:r w:rsidRPr="004132B5">
        <w:rPr>
          <w:w w:val="105"/>
          <w:lang w:val="it-IT"/>
        </w:rPr>
        <w:t>Cummings</w:t>
      </w:r>
      <w:proofErr w:type="spellEnd"/>
      <w:r w:rsidRPr="004132B5">
        <w:rPr>
          <w:w w:val="105"/>
          <w:lang w:val="it-IT"/>
        </w:rPr>
        <w:t xml:space="preserve">, 2002; </w:t>
      </w:r>
      <w:proofErr w:type="spellStart"/>
      <w:r w:rsidRPr="004132B5">
        <w:rPr>
          <w:w w:val="105"/>
          <w:lang w:val="it-IT"/>
        </w:rPr>
        <w:t>Modrego</w:t>
      </w:r>
      <w:proofErr w:type="spellEnd"/>
      <w:r w:rsidRPr="004132B5">
        <w:rPr>
          <w:w w:val="105"/>
          <w:lang w:val="it-IT"/>
        </w:rPr>
        <w:t xml:space="preserve">, 2010). La depressione nel corso della vita potrebbe essere il primo sintomo della </w:t>
      </w:r>
      <w:r w:rsidRPr="004132B5">
        <w:rPr>
          <w:spacing w:val="2"/>
          <w:w w:val="105"/>
          <w:lang w:val="it-IT"/>
        </w:rPr>
        <w:t xml:space="preserve">demenza, </w:t>
      </w:r>
      <w:r w:rsidRPr="004132B5">
        <w:rPr>
          <w:w w:val="105"/>
          <w:lang w:val="it-IT"/>
        </w:rPr>
        <w:t xml:space="preserve">ma potrebbe anche, come affermano alcuni ricercatori, essere un forte fattore di rischio </w:t>
      </w:r>
      <w:r w:rsidRPr="004132B5">
        <w:rPr>
          <w:spacing w:val="2"/>
          <w:w w:val="105"/>
          <w:lang w:val="it-IT"/>
        </w:rPr>
        <w:t xml:space="preserve">per </w:t>
      </w:r>
      <w:r w:rsidRPr="004132B5">
        <w:rPr>
          <w:w w:val="105"/>
          <w:lang w:val="it-IT"/>
        </w:rPr>
        <w:t>la demenza (</w:t>
      </w:r>
      <w:proofErr w:type="spellStart"/>
      <w:r w:rsidRPr="004132B5">
        <w:rPr>
          <w:w w:val="105"/>
          <w:lang w:val="it-IT"/>
        </w:rPr>
        <w:t>Ownby</w:t>
      </w:r>
      <w:proofErr w:type="spellEnd"/>
      <w:r w:rsidRPr="004132B5">
        <w:rPr>
          <w:w w:val="105"/>
          <w:lang w:val="it-IT"/>
        </w:rPr>
        <w:t xml:space="preserve"> et al., 2006; Pomara and </w:t>
      </w:r>
      <w:proofErr w:type="spellStart"/>
      <w:r w:rsidRPr="004132B5">
        <w:rPr>
          <w:w w:val="105"/>
          <w:lang w:val="it-IT"/>
        </w:rPr>
        <w:t>Sidtis</w:t>
      </w:r>
      <w:proofErr w:type="spellEnd"/>
      <w:r w:rsidRPr="004132B5">
        <w:rPr>
          <w:w w:val="105"/>
          <w:lang w:val="it-IT"/>
        </w:rPr>
        <w:t xml:space="preserve">, 2007). Si ritiene, infatti, che la depressione nell’anziano sia un fattore di rischio per lo sviluppo delle demenze e che un disturbo dell’umore in età avanzata può essere in alcuni casi il segnale anticipatore della malattia di Alzheimer (MA). </w:t>
      </w:r>
      <w:proofErr w:type="gramStart"/>
      <w:r w:rsidRPr="004132B5">
        <w:rPr>
          <w:w w:val="105"/>
          <w:lang w:val="it-IT"/>
        </w:rPr>
        <w:t>E’</w:t>
      </w:r>
      <w:proofErr w:type="gramEnd"/>
      <w:r w:rsidRPr="004132B5">
        <w:rPr>
          <w:w w:val="105"/>
          <w:lang w:val="it-IT"/>
        </w:rPr>
        <w:t xml:space="preserve"> stato, inoltre, osservato che pazienti depressi affetti da </w:t>
      </w:r>
      <w:r w:rsidRPr="004132B5">
        <w:rPr>
          <w:spacing w:val="3"/>
          <w:w w:val="105"/>
          <w:lang w:val="it-IT"/>
        </w:rPr>
        <w:t xml:space="preserve">MA </w:t>
      </w:r>
      <w:r w:rsidRPr="004132B5">
        <w:rPr>
          <w:w w:val="105"/>
          <w:lang w:val="it-IT"/>
        </w:rPr>
        <w:t xml:space="preserve">non rispondono alla terapia con antidepressivi convenzionali, diversamente da </w:t>
      </w:r>
      <w:r w:rsidRPr="004132B5">
        <w:rPr>
          <w:spacing w:val="2"/>
          <w:w w:val="105"/>
          <w:lang w:val="it-IT"/>
        </w:rPr>
        <w:t xml:space="preserve">una </w:t>
      </w:r>
      <w:r w:rsidRPr="004132B5">
        <w:rPr>
          <w:w w:val="105"/>
          <w:lang w:val="it-IT"/>
        </w:rPr>
        <w:t xml:space="preserve">popolazione anziana affetta solo da depressione (Pomara and </w:t>
      </w:r>
      <w:proofErr w:type="spellStart"/>
      <w:r w:rsidRPr="004132B5">
        <w:rPr>
          <w:w w:val="105"/>
          <w:lang w:val="it-IT"/>
        </w:rPr>
        <w:t>Sidtis</w:t>
      </w:r>
      <w:proofErr w:type="spellEnd"/>
      <w:r w:rsidRPr="004132B5">
        <w:rPr>
          <w:w w:val="105"/>
          <w:lang w:val="it-IT"/>
        </w:rPr>
        <w:t xml:space="preserve">, 2007; </w:t>
      </w:r>
      <w:proofErr w:type="spellStart"/>
      <w:r w:rsidRPr="004132B5">
        <w:rPr>
          <w:w w:val="105"/>
          <w:lang w:val="it-IT"/>
        </w:rPr>
        <w:t>Sepehry</w:t>
      </w:r>
      <w:proofErr w:type="spellEnd"/>
      <w:r w:rsidRPr="004132B5">
        <w:rPr>
          <w:spacing w:val="-27"/>
          <w:w w:val="105"/>
          <w:lang w:val="it-IT"/>
        </w:rPr>
        <w:t xml:space="preserve"> </w:t>
      </w:r>
      <w:r w:rsidRPr="004132B5">
        <w:rPr>
          <w:w w:val="105"/>
          <w:lang w:val="it-IT"/>
        </w:rPr>
        <w:t>et al.,</w:t>
      </w:r>
    </w:p>
    <w:p w:rsidR="00F0434D" w:rsidRPr="004132B5" w:rsidRDefault="00783421">
      <w:pPr>
        <w:pStyle w:val="Corpotesto"/>
        <w:spacing w:before="192" w:line="268" w:lineRule="auto"/>
        <w:ind w:left="717" w:right="711"/>
        <w:jc w:val="both"/>
        <w:rPr>
          <w:lang w:val="it-IT"/>
        </w:rPr>
      </w:pPr>
      <w:r w:rsidRPr="004132B5">
        <w:rPr>
          <w:w w:val="105"/>
          <w:lang w:val="it-IT"/>
        </w:rPr>
        <w:t>2012). Sembrerebbe, pertanto, che la depressione nella MA abbia un’eziopatogenesi differente rispetto al resto della popolazione geriatrica. Ne consegue che nuovi approcci terapeutici sono necessari in questa popolazione che manifesta resistenza al trattamento con antidepressivi</w:t>
      </w:r>
      <w:r w:rsidRPr="004132B5">
        <w:rPr>
          <w:spacing w:val="1"/>
          <w:w w:val="105"/>
          <w:lang w:val="it-IT"/>
        </w:rPr>
        <w:t xml:space="preserve"> </w:t>
      </w:r>
      <w:r w:rsidRPr="004132B5">
        <w:rPr>
          <w:w w:val="105"/>
          <w:lang w:val="it-IT"/>
        </w:rPr>
        <w:t>convenzionali.</w:t>
      </w:r>
    </w:p>
    <w:p w:rsidR="00F0434D" w:rsidRPr="004132B5" w:rsidRDefault="00783421">
      <w:pPr>
        <w:pStyle w:val="Corpotesto"/>
        <w:spacing w:before="156" w:line="252" w:lineRule="auto"/>
        <w:ind w:left="717" w:right="710" w:firstLine="709"/>
        <w:jc w:val="both"/>
        <w:rPr>
          <w:lang w:val="it-IT"/>
        </w:rPr>
      </w:pPr>
      <w:r w:rsidRPr="004132B5">
        <w:rPr>
          <w:w w:val="105"/>
          <w:lang w:val="it-IT"/>
        </w:rPr>
        <w:t xml:space="preserve">Molte malattie organiche, inoltre, si associano ad un disturbo depressivo maggiore o a sintomi depressivi. Oggi è ampiamente riconosciuto lo stretto legame tra depressione e malattie somatiche </w:t>
      </w:r>
      <w:proofErr w:type="gramStart"/>
      <w:r w:rsidRPr="004132B5">
        <w:rPr>
          <w:w w:val="105"/>
          <w:lang w:val="it-IT"/>
        </w:rPr>
        <w:t>ed</w:t>
      </w:r>
      <w:proofErr w:type="gramEnd"/>
      <w:r w:rsidRPr="004132B5">
        <w:rPr>
          <w:w w:val="105"/>
          <w:lang w:val="it-IT"/>
        </w:rPr>
        <w:t>, in particolare, le malattie cardiovascolari (</w:t>
      </w:r>
      <w:proofErr w:type="spellStart"/>
      <w:r w:rsidRPr="004132B5">
        <w:rPr>
          <w:w w:val="105"/>
          <w:lang w:val="it-IT"/>
        </w:rPr>
        <w:t>Libby</w:t>
      </w:r>
      <w:proofErr w:type="spellEnd"/>
      <w:r w:rsidRPr="004132B5">
        <w:rPr>
          <w:w w:val="105"/>
          <w:lang w:val="it-IT"/>
        </w:rPr>
        <w:t xml:space="preserve"> et al., 2002). A questo proposito è però importante sottolineare che esistono almeno due modalità con cui </w:t>
      </w:r>
      <w:r w:rsidRPr="004132B5">
        <w:rPr>
          <w:spacing w:val="2"/>
          <w:w w:val="105"/>
          <w:lang w:val="it-IT"/>
        </w:rPr>
        <w:t xml:space="preserve">una </w:t>
      </w:r>
      <w:r w:rsidRPr="004132B5">
        <w:rPr>
          <w:w w:val="105"/>
          <w:lang w:val="it-IT"/>
        </w:rPr>
        <w:t xml:space="preserve">malattia cardiaca può coesistere con la depressione. La prima modalità è quella per la quale un paziente non accetta la condizione di malato e reagisce deprimendosi (depressione reattiva). In questo caso la malattia cardiaca interviene come un qualunque fattore stressante. La seconda modalità si configura quando il quadro depressivo non è una conseguenza psicologica della malattia medica ma al contrario è possibile identificare un rapporto fisiologico diretto tra la malattia e la depressione. Le malattie cardiache sono in grado di causare una sintomatologia depressiva del tutto analoga ad un disturbo depressivo ‘primario’ (disturbo depressivo dovuto a condizione medica generale). Recentemente, diversi studi hanno messo in luce il ruolo delle sindromi psicologiche, definite secondo i </w:t>
      </w:r>
      <w:r w:rsidRPr="004132B5">
        <w:rPr>
          <w:i/>
          <w:w w:val="105"/>
          <w:lang w:val="it-IT"/>
        </w:rPr>
        <w:t xml:space="preserve">Diagnostic </w:t>
      </w:r>
      <w:proofErr w:type="spellStart"/>
      <w:r w:rsidRPr="004132B5">
        <w:rPr>
          <w:i/>
          <w:w w:val="105"/>
          <w:lang w:val="it-IT"/>
        </w:rPr>
        <w:t>Criteria</w:t>
      </w:r>
      <w:proofErr w:type="spellEnd"/>
      <w:r w:rsidRPr="004132B5">
        <w:rPr>
          <w:i/>
          <w:w w:val="105"/>
          <w:lang w:val="it-IT"/>
        </w:rPr>
        <w:t xml:space="preserve"> for </w:t>
      </w:r>
      <w:proofErr w:type="spellStart"/>
      <w:r w:rsidRPr="004132B5">
        <w:rPr>
          <w:i/>
          <w:w w:val="105"/>
          <w:lang w:val="it-IT"/>
        </w:rPr>
        <w:t>Psychosomatic</w:t>
      </w:r>
      <w:proofErr w:type="spellEnd"/>
      <w:r w:rsidRPr="004132B5">
        <w:rPr>
          <w:i/>
          <w:w w:val="105"/>
          <w:lang w:val="it-IT"/>
        </w:rPr>
        <w:t xml:space="preserve"> </w:t>
      </w:r>
      <w:proofErr w:type="spellStart"/>
      <w:r w:rsidRPr="004132B5">
        <w:rPr>
          <w:i/>
          <w:w w:val="105"/>
          <w:lang w:val="it-IT"/>
        </w:rPr>
        <w:t>Research</w:t>
      </w:r>
      <w:proofErr w:type="spellEnd"/>
      <w:r w:rsidRPr="004132B5">
        <w:rPr>
          <w:i/>
          <w:w w:val="105"/>
          <w:lang w:val="it-IT"/>
        </w:rPr>
        <w:t xml:space="preserve"> </w:t>
      </w:r>
      <w:r w:rsidRPr="004132B5">
        <w:rPr>
          <w:w w:val="105"/>
          <w:lang w:val="it-IT"/>
        </w:rPr>
        <w:t xml:space="preserve">(DCPR), in pazienti affetti da malattie cardiache. Ottolini e collaboratori (2005) hanno condotto uno studio in una popolazione di post- infartuati, ed hanno messo in evidenza in tutti i pazienti la presenza di almeno una diagnosi secondo i DCPR. In particolare, la sindrome più frequente, presente nel 56% dei pazienti è risultata “umore irritabile” frequentemente associata con disturbi d’ansia; il 40 % dei pazienti </w:t>
      </w:r>
      <w:r w:rsidRPr="004132B5">
        <w:rPr>
          <w:w w:val="105"/>
          <w:lang w:val="it-IT"/>
        </w:rPr>
        <w:lastRenderedPageBreak/>
        <w:t>presentava caratteristiche di comportamento tipo A in accordo ai</w:t>
      </w:r>
      <w:r w:rsidRPr="004132B5">
        <w:rPr>
          <w:spacing w:val="1"/>
          <w:w w:val="105"/>
          <w:lang w:val="it-IT"/>
        </w:rPr>
        <w:t xml:space="preserve"> </w:t>
      </w:r>
      <w:r w:rsidRPr="004132B5">
        <w:rPr>
          <w:w w:val="105"/>
          <w:lang w:val="it-IT"/>
        </w:rPr>
        <w:t>DCPR.</w:t>
      </w:r>
    </w:p>
    <w:p w:rsidR="00F0434D" w:rsidRPr="004132B5" w:rsidRDefault="00783421">
      <w:pPr>
        <w:pStyle w:val="Corpotesto"/>
        <w:spacing w:line="252" w:lineRule="auto"/>
        <w:ind w:left="717" w:right="709" w:firstLine="709"/>
        <w:jc w:val="both"/>
        <w:rPr>
          <w:lang w:val="it-IT"/>
        </w:rPr>
      </w:pPr>
      <w:r w:rsidRPr="004132B5">
        <w:rPr>
          <w:w w:val="105"/>
          <w:lang w:val="it-IT"/>
        </w:rPr>
        <w:t>L’attivazione dei processi infiammatori potrebbe essere considerata un comune denominatore della depressione e delle malattie cardiache e per la co-</w:t>
      </w:r>
      <w:proofErr w:type="spellStart"/>
      <w:r w:rsidRPr="004132B5">
        <w:rPr>
          <w:w w:val="105"/>
          <w:lang w:val="it-IT"/>
        </w:rPr>
        <w:t>morbidità</w:t>
      </w:r>
      <w:proofErr w:type="spellEnd"/>
      <w:r w:rsidRPr="004132B5">
        <w:rPr>
          <w:w w:val="105"/>
          <w:lang w:val="it-IT"/>
        </w:rPr>
        <w:t xml:space="preserve"> tra malattie cardiache e depressione. Tale ipotesi deriva dall’osservazione che livelli elevati di citochine pro- ed anti-infiammatorie sono presenti nel siero e nel liquido cefalorachidiano dei pazienti affetti da depressione rispetto al gruppo controllo (</w:t>
      </w:r>
      <w:proofErr w:type="spellStart"/>
      <w:r w:rsidRPr="004132B5">
        <w:rPr>
          <w:w w:val="105"/>
          <w:lang w:val="it-IT"/>
        </w:rPr>
        <w:t>Maes</w:t>
      </w:r>
      <w:proofErr w:type="spellEnd"/>
      <w:r w:rsidRPr="004132B5">
        <w:rPr>
          <w:w w:val="105"/>
          <w:lang w:val="it-IT"/>
        </w:rPr>
        <w:t xml:space="preserve">, 1995; Thomas et al., 2005; </w:t>
      </w:r>
      <w:proofErr w:type="spellStart"/>
      <w:r w:rsidRPr="004132B5">
        <w:rPr>
          <w:w w:val="105"/>
          <w:lang w:val="it-IT"/>
        </w:rPr>
        <w:t>Trzonkowski</w:t>
      </w:r>
      <w:proofErr w:type="spellEnd"/>
      <w:r w:rsidRPr="004132B5">
        <w:rPr>
          <w:w w:val="105"/>
          <w:lang w:val="it-IT"/>
        </w:rPr>
        <w:t xml:space="preserve"> et al., 2004). </w:t>
      </w:r>
      <w:proofErr w:type="gramStart"/>
      <w:r w:rsidRPr="004132B5">
        <w:rPr>
          <w:w w:val="105"/>
          <w:lang w:val="it-IT"/>
        </w:rPr>
        <w:t>E’</w:t>
      </w:r>
      <w:proofErr w:type="gramEnd"/>
      <w:r w:rsidRPr="004132B5">
        <w:rPr>
          <w:w w:val="105"/>
          <w:lang w:val="it-IT"/>
        </w:rPr>
        <w:t xml:space="preserve"> stata proposta, inoltre, una teoria </w:t>
      </w:r>
      <w:proofErr w:type="spellStart"/>
      <w:r w:rsidRPr="004132B5">
        <w:rPr>
          <w:w w:val="105"/>
          <w:lang w:val="it-IT"/>
        </w:rPr>
        <w:t>immuno</w:t>
      </w:r>
      <w:proofErr w:type="spellEnd"/>
      <w:r w:rsidRPr="004132B5">
        <w:rPr>
          <w:w w:val="105"/>
          <w:lang w:val="it-IT"/>
        </w:rPr>
        <w:t>-infiammatoria delle lesioni arteriosclerotiche che costituiscono il fattore di rischio più importante per l’insorgenza di coronaropatie (</w:t>
      </w:r>
      <w:proofErr w:type="spellStart"/>
      <w:r w:rsidRPr="004132B5">
        <w:rPr>
          <w:w w:val="105"/>
          <w:lang w:val="it-IT"/>
        </w:rPr>
        <w:t>Libby</w:t>
      </w:r>
      <w:proofErr w:type="spellEnd"/>
      <w:r w:rsidRPr="004132B5">
        <w:rPr>
          <w:w w:val="105"/>
          <w:lang w:val="it-IT"/>
        </w:rPr>
        <w:t xml:space="preserve"> et al., 2002). L’aumento delle citochine infiammatorie è in grado di predire il rischio di sviluppare depressione in pazienti affetti da malattie coronariche (Pizzi et al., 2008; Vaccarino et al., 2007).</w:t>
      </w:r>
    </w:p>
    <w:p w:rsidR="00F0434D" w:rsidRPr="004132B5" w:rsidRDefault="00783421" w:rsidP="00787046">
      <w:pPr>
        <w:pStyle w:val="Corpotesto"/>
        <w:spacing w:line="252" w:lineRule="auto"/>
        <w:ind w:left="717" w:right="709" w:firstLine="709"/>
        <w:jc w:val="both"/>
        <w:rPr>
          <w:lang w:val="it-IT"/>
        </w:rPr>
        <w:sectPr w:rsidR="00F0434D" w:rsidRPr="004132B5" w:rsidSect="00787046">
          <w:headerReference w:type="default" r:id="rId7"/>
          <w:pgSz w:w="11900" w:h="16840"/>
          <w:pgMar w:top="993" w:right="700" w:bottom="1640" w:left="700" w:header="2270" w:footer="1448" w:gutter="0"/>
          <w:cols w:space="720"/>
        </w:sectPr>
      </w:pPr>
      <w:r w:rsidRPr="004132B5">
        <w:rPr>
          <w:w w:val="105"/>
          <w:lang w:val="it-IT"/>
        </w:rPr>
        <w:t xml:space="preserve">Un approccio terapeutico innovativo è rappresentato dall’impiego con valore adiuvante di un regime nutrizionale di tipo chetogenico, in cui l’attesa produzione di corpi chetonici svolge un’azione di tipo </w:t>
      </w:r>
      <w:proofErr w:type="spellStart"/>
      <w:r w:rsidRPr="004132B5">
        <w:rPr>
          <w:w w:val="105"/>
          <w:lang w:val="it-IT"/>
        </w:rPr>
        <w:t>neuroprotettivo</w:t>
      </w:r>
      <w:proofErr w:type="spellEnd"/>
      <w:r w:rsidRPr="004132B5">
        <w:rPr>
          <w:w w:val="105"/>
          <w:lang w:val="it-IT"/>
        </w:rPr>
        <w:t xml:space="preserve"> specificatamente neuro </w:t>
      </w:r>
      <w:proofErr w:type="spellStart"/>
      <w:r w:rsidRPr="004132B5">
        <w:rPr>
          <w:w w:val="105"/>
          <w:lang w:val="it-IT"/>
        </w:rPr>
        <w:t>keto</w:t>
      </w:r>
      <w:proofErr w:type="spellEnd"/>
      <w:r w:rsidRPr="004132B5">
        <w:rPr>
          <w:w w:val="105"/>
          <w:lang w:val="it-IT"/>
        </w:rPr>
        <w:t xml:space="preserve"> terapeutico, potenziando la funzione mitocondriale e riducendo l’espressione di mediatori con funzione infiammatoria, </w:t>
      </w:r>
      <w:proofErr w:type="spellStart"/>
      <w:r w:rsidRPr="004132B5">
        <w:rPr>
          <w:w w:val="105"/>
          <w:lang w:val="it-IT"/>
        </w:rPr>
        <w:t>apoptotica</w:t>
      </w:r>
      <w:proofErr w:type="spellEnd"/>
      <w:r w:rsidRPr="004132B5">
        <w:rPr>
          <w:w w:val="105"/>
          <w:lang w:val="it-IT"/>
        </w:rPr>
        <w:t xml:space="preserve"> e lo stress ossidativo (</w:t>
      </w:r>
      <w:proofErr w:type="spellStart"/>
      <w:r w:rsidRPr="004132B5">
        <w:rPr>
          <w:w w:val="105"/>
          <w:lang w:val="it-IT"/>
        </w:rPr>
        <w:t>Rusek</w:t>
      </w:r>
      <w:proofErr w:type="spellEnd"/>
      <w:r w:rsidRPr="004132B5">
        <w:rPr>
          <w:w w:val="105"/>
          <w:lang w:val="it-IT"/>
        </w:rPr>
        <w:t xml:space="preserve"> and </w:t>
      </w:r>
      <w:proofErr w:type="spellStart"/>
      <w:r w:rsidRPr="004132B5">
        <w:rPr>
          <w:w w:val="105"/>
          <w:lang w:val="it-IT"/>
        </w:rPr>
        <w:t>Czuczwar</w:t>
      </w:r>
      <w:proofErr w:type="spellEnd"/>
      <w:r w:rsidRPr="004132B5">
        <w:rPr>
          <w:w w:val="105"/>
          <w:lang w:val="it-IT"/>
        </w:rPr>
        <w:t xml:space="preserve"> 2019; Taylor MK and </w:t>
      </w:r>
      <w:proofErr w:type="spellStart"/>
      <w:r w:rsidRPr="004132B5">
        <w:rPr>
          <w:w w:val="105"/>
          <w:lang w:val="it-IT"/>
        </w:rPr>
        <w:t>Sullivan</w:t>
      </w:r>
      <w:proofErr w:type="spellEnd"/>
      <w:r w:rsidRPr="004132B5">
        <w:rPr>
          <w:w w:val="105"/>
          <w:lang w:val="it-IT"/>
        </w:rPr>
        <w:t xml:space="preserve"> DK 2019; Pinto A, </w:t>
      </w:r>
      <w:proofErr w:type="spellStart"/>
      <w:r w:rsidRPr="004132B5">
        <w:rPr>
          <w:w w:val="105"/>
          <w:lang w:val="it-IT"/>
        </w:rPr>
        <w:t>Businaro</w:t>
      </w:r>
      <w:proofErr w:type="spellEnd"/>
      <w:r w:rsidRPr="004132B5">
        <w:rPr>
          <w:w w:val="105"/>
          <w:lang w:val="it-IT"/>
        </w:rPr>
        <w:t xml:space="preserve"> R 2018). Pertanto l’adozione di un regime alimentare chetogenico permette di ottenere effetti anti infiammatori, antiossidanti e anti </w:t>
      </w:r>
      <w:proofErr w:type="spellStart"/>
      <w:r w:rsidRPr="004132B5">
        <w:rPr>
          <w:w w:val="105"/>
          <w:lang w:val="it-IT"/>
        </w:rPr>
        <w:t>aterogenici</w:t>
      </w:r>
      <w:proofErr w:type="spellEnd"/>
      <w:r w:rsidRPr="004132B5">
        <w:rPr>
          <w:w w:val="105"/>
          <w:lang w:val="it-IT"/>
        </w:rPr>
        <w:t xml:space="preserve"> e può quindi rappresentare uno utile strumento pleiotropico e sinergico terapeutico (Lu Y </w:t>
      </w:r>
      <w:r w:rsidRPr="004132B5">
        <w:rPr>
          <w:spacing w:val="2"/>
          <w:w w:val="105"/>
          <w:lang w:val="it-IT"/>
        </w:rPr>
        <w:t xml:space="preserve">and </w:t>
      </w:r>
      <w:r w:rsidRPr="004132B5">
        <w:rPr>
          <w:w w:val="105"/>
          <w:lang w:val="it-IT"/>
        </w:rPr>
        <w:t xml:space="preserve">Li F 2018, </w:t>
      </w:r>
      <w:proofErr w:type="spellStart"/>
      <w:r w:rsidRPr="004132B5">
        <w:rPr>
          <w:w w:val="105"/>
          <w:lang w:val="it-IT"/>
        </w:rPr>
        <w:t>Cavaleri</w:t>
      </w:r>
      <w:proofErr w:type="spellEnd"/>
      <w:r w:rsidRPr="004132B5">
        <w:rPr>
          <w:w w:val="105"/>
          <w:lang w:val="it-IT"/>
        </w:rPr>
        <w:t xml:space="preserve"> F, </w:t>
      </w:r>
      <w:proofErr w:type="spellStart"/>
      <w:r w:rsidRPr="004132B5">
        <w:rPr>
          <w:w w:val="105"/>
          <w:lang w:val="it-IT"/>
        </w:rPr>
        <w:t>Bashar</w:t>
      </w:r>
      <w:proofErr w:type="spellEnd"/>
      <w:r w:rsidRPr="004132B5">
        <w:rPr>
          <w:w w:val="105"/>
          <w:lang w:val="it-IT"/>
        </w:rPr>
        <w:t xml:space="preserve"> E</w:t>
      </w:r>
      <w:r w:rsidRPr="004132B5">
        <w:rPr>
          <w:spacing w:val="3"/>
          <w:w w:val="105"/>
          <w:lang w:val="it-IT"/>
        </w:rPr>
        <w:t xml:space="preserve"> </w:t>
      </w:r>
      <w:r w:rsidRPr="004132B5">
        <w:rPr>
          <w:w w:val="105"/>
          <w:lang w:val="it-IT"/>
        </w:rPr>
        <w:t>2018).</w:t>
      </w:r>
    </w:p>
    <w:p w:rsidR="00F0434D" w:rsidRPr="004132B5" w:rsidRDefault="00F0434D">
      <w:pPr>
        <w:pStyle w:val="Corpotesto"/>
        <w:spacing w:before="7"/>
        <w:rPr>
          <w:sz w:val="22"/>
          <w:lang w:val="it-IT"/>
        </w:rPr>
      </w:pPr>
    </w:p>
    <w:p w:rsidR="00F0434D" w:rsidRPr="004132B5" w:rsidRDefault="00783421">
      <w:pPr>
        <w:pStyle w:val="Corpotesto"/>
        <w:ind w:left="717"/>
        <w:rPr>
          <w:lang w:val="it-IT"/>
        </w:rPr>
      </w:pPr>
      <w:r w:rsidRPr="004132B5">
        <w:rPr>
          <w:w w:val="105"/>
          <w:u w:val="single"/>
          <w:lang w:val="it-IT"/>
        </w:rPr>
        <w:t>SCOPI PRINCIPALI DELLA RICERCA.</w:t>
      </w:r>
    </w:p>
    <w:p w:rsidR="00F0434D" w:rsidRPr="004132B5" w:rsidRDefault="00783421">
      <w:pPr>
        <w:pStyle w:val="Corpotesto"/>
        <w:spacing w:before="13"/>
        <w:ind w:left="717"/>
        <w:rPr>
          <w:lang w:val="it-IT"/>
        </w:rPr>
      </w:pPr>
      <w:r w:rsidRPr="004132B5">
        <w:rPr>
          <w:w w:val="105"/>
          <w:lang w:val="it-IT"/>
        </w:rPr>
        <w:t>Il presente progetto, attraverso un approccio multidisciplinare, si prefigge uno scopo duplice:</w:t>
      </w:r>
    </w:p>
    <w:p w:rsidR="00F0434D" w:rsidRPr="004132B5" w:rsidRDefault="00783421">
      <w:pPr>
        <w:pStyle w:val="Paragrafoelenco"/>
        <w:numPr>
          <w:ilvl w:val="0"/>
          <w:numId w:val="2"/>
        </w:numPr>
        <w:tabs>
          <w:tab w:val="left" w:pos="1438"/>
        </w:tabs>
        <w:spacing w:before="13" w:line="249" w:lineRule="auto"/>
        <w:ind w:right="711"/>
        <w:jc w:val="both"/>
        <w:rPr>
          <w:sz w:val="21"/>
          <w:lang w:val="it-IT"/>
        </w:rPr>
      </w:pPr>
      <w:r w:rsidRPr="004132B5">
        <w:rPr>
          <w:w w:val="105"/>
          <w:sz w:val="21"/>
          <w:lang w:val="it-IT"/>
        </w:rPr>
        <w:t>valutare l’insorgenza di fenomeni “depressivo-simili” in un modello animale transgenico di malattia di Alzheimer e testare l’efficacia di un trattamento con farmaci antidepressivi;</w:t>
      </w:r>
    </w:p>
    <w:p w:rsidR="00F0434D" w:rsidRPr="004132B5" w:rsidRDefault="00F0434D">
      <w:pPr>
        <w:pStyle w:val="Corpotesto"/>
        <w:spacing w:before="6"/>
        <w:rPr>
          <w:sz w:val="22"/>
          <w:lang w:val="it-IT"/>
        </w:rPr>
      </w:pPr>
    </w:p>
    <w:p w:rsidR="00F0434D" w:rsidRPr="004132B5" w:rsidRDefault="00783421">
      <w:pPr>
        <w:pStyle w:val="Paragrafoelenco"/>
        <w:numPr>
          <w:ilvl w:val="0"/>
          <w:numId w:val="2"/>
        </w:numPr>
        <w:tabs>
          <w:tab w:val="left" w:pos="1438"/>
        </w:tabs>
        <w:spacing w:line="249" w:lineRule="auto"/>
        <w:ind w:right="709"/>
        <w:jc w:val="both"/>
        <w:rPr>
          <w:sz w:val="21"/>
          <w:lang w:val="it-IT"/>
        </w:rPr>
      </w:pPr>
      <w:r w:rsidRPr="004132B5">
        <w:rPr>
          <w:w w:val="105"/>
          <w:sz w:val="21"/>
          <w:lang w:val="it-IT"/>
        </w:rPr>
        <w:t>studiare le variabili ‘psicosomatiche’ in pazienti depressi e in pazienti con malattie cardiache utilizzando i DCPR e valutare i livelli delle citochine pro-infiammatorie al fine di predire/monitorare l’insorgenza e la progressione di entrambe le</w:t>
      </w:r>
      <w:r w:rsidRPr="004132B5">
        <w:rPr>
          <w:spacing w:val="-20"/>
          <w:w w:val="105"/>
          <w:sz w:val="21"/>
          <w:lang w:val="it-IT"/>
        </w:rPr>
        <w:t xml:space="preserve"> </w:t>
      </w:r>
      <w:r w:rsidRPr="004132B5">
        <w:rPr>
          <w:w w:val="105"/>
          <w:sz w:val="21"/>
          <w:lang w:val="it-IT"/>
        </w:rPr>
        <w:t>patologie;</w:t>
      </w:r>
    </w:p>
    <w:p w:rsidR="00F0434D" w:rsidRPr="004132B5" w:rsidRDefault="00F0434D">
      <w:pPr>
        <w:pStyle w:val="Corpotesto"/>
        <w:spacing w:before="2"/>
        <w:rPr>
          <w:sz w:val="22"/>
          <w:lang w:val="it-IT"/>
        </w:rPr>
      </w:pPr>
    </w:p>
    <w:p w:rsidR="00F0434D" w:rsidRPr="004132B5" w:rsidRDefault="00783421">
      <w:pPr>
        <w:pStyle w:val="Paragrafoelenco"/>
        <w:numPr>
          <w:ilvl w:val="0"/>
          <w:numId w:val="2"/>
        </w:numPr>
        <w:tabs>
          <w:tab w:val="left" w:pos="1438"/>
        </w:tabs>
        <w:spacing w:line="252" w:lineRule="auto"/>
        <w:ind w:right="712"/>
        <w:jc w:val="both"/>
        <w:rPr>
          <w:sz w:val="21"/>
          <w:lang w:val="it-IT"/>
        </w:rPr>
      </w:pPr>
      <w:r w:rsidRPr="004132B5">
        <w:rPr>
          <w:w w:val="105"/>
          <w:sz w:val="21"/>
          <w:lang w:val="it-IT"/>
        </w:rPr>
        <w:t>valutare l’azione terapeutica adiuvante, derivante dalla adozione di un regime nutrizionale chetogenico, sia sulla modulazione del mood depressivo che sullo stato infiammatorio.</w:t>
      </w:r>
    </w:p>
    <w:p w:rsidR="00F0434D" w:rsidRPr="004132B5" w:rsidRDefault="00F0434D">
      <w:pPr>
        <w:pStyle w:val="Corpotesto"/>
        <w:rPr>
          <w:sz w:val="24"/>
          <w:lang w:val="it-IT"/>
        </w:rPr>
      </w:pPr>
    </w:p>
    <w:p w:rsidR="00F0434D" w:rsidRPr="004132B5" w:rsidRDefault="00F0434D">
      <w:pPr>
        <w:pStyle w:val="Corpotesto"/>
        <w:rPr>
          <w:sz w:val="20"/>
          <w:lang w:val="it-IT"/>
        </w:rPr>
      </w:pPr>
    </w:p>
    <w:p w:rsidR="00F0434D" w:rsidRPr="004132B5" w:rsidRDefault="00783421">
      <w:pPr>
        <w:pStyle w:val="Corpotesto"/>
        <w:ind w:left="717"/>
        <w:rPr>
          <w:lang w:val="it-IT"/>
        </w:rPr>
      </w:pPr>
      <w:r w:rsidRPr="004132B5">
        <w:rPr>
          <w:w w:val="105"/>
          <w:u w:val="single"/>
          <w:lang w:val="it-IT"/>
        </w:rPr>
        <w:t>ATTIVITA’ PROGETTUALI</w:t>
      </w:r>
    </w:p>
    <w:p w:rsidR="00F0434D" w:rsidRPr="004132B5" w:rsidRDefault="00F0434D">
      <w:pPr>
        <w:pStyle w:val="Corpotesto"/>
        <w:spacing w:before="3"/>
        <w:rPr>
          <w:sz w:val="14"/>
          <w:lang w:val="it-IT"/>
        </w:rPr>
      </w:pPr>
    </w:p>
    <w:p w:rsidR="00F0434D" w:rsidRPr="004132B5" w:rsidRDefault="00783421">
      <w:pPr>
        <w:spacing w:before="99"/>
        <w:ind w:left="717"/>
        <w:rPr>
          <w:i/>
          <w:sz w:val="21"/>
          <w:lang w:val="it-IT"/>
        </w:rPr>
      </w:pPr>
      <w:r w:rsidRPr="004132B5">
        <w:rPr>
          <w:i/>
          <w:w w:val="105"/>
          <w:sz w:val="21"/>
          <w:lang w:val="it-IT"/>
        </w:rPr>
        <w:t>SCOPO 1: STUDIO PRECLINICO</w:t>
      </w:r>
    </w:p>
    <w:p w:rsidR="00F0434D" w:rsidRPr="004132B5" w:rsidRDefault="00F0434D">
      <w:pPr>
        <w:pStyle w:val="Corpotesto"/>
        <w:spacing w:before="3"/>
        <w:rPr>
          <w:i/>
          <w:sz w:val="23"/>
          <w:lang w:val="it-IT"/>
        </w:rPr>
      </w:pPr>
    </w:p>
    <w:p w:rsidR="00F0434D" w:rsidRPr="004132B5" w:rsidRDefault="00783421">
      <w:pPr>
        <w:pStyle w:val="Corpotesto"/>
        <w:spacing w:line="252" w:lineRule="auto"/>
        <w:ind w:left="717" w:right="710" w:firstLine="709"/>
        <w:jc w:val="both"/>
        <w:rPr>
          <w:lang w:val="it-IT"/>
        </w:rPr>
      </w:pPr>
      <w:r w:rsidRPr="004132B5">
        <w:rPr>
          <w:w w:val="105"/>
          <w:lang w:val="it-IT"/>
        </w:rPr>
        <w:t>A questo scopo, modelli animali transgenici per la MA costituiscono un approccio sperimentale insostituibile. In particolare, saranno utilizzati topi triplo transgenici (3xTg-AD), che esprimono tre geni umani mutati (</w:t>
      </w:r>
      <w:proofErr w:type="spellStart"/>
      <w:r w:rsidRPr="004132B5">
        <w:rPr>
          <w:w w:val="105"/>
          <w:lang w:val="it-IT"/>
        </w:rPr>
        <w:t>betaAPPSwe</w:t>
      </w:r>
      <w:proofErr w:type="spellEnd"/>
      <w:r w:rsidRPr="004132B5">
        <w:rPr>
          <w:w w:val="105"/>
          <w:lang w:val="it-IT"/>
        </w:rPr>
        <w:t xml:space="preserve">, PS1M146V, e tauP301L), il primo topo transgenico-triplo in grado di sviluppare sia le placche di peptide Beta-Amiloide che l’alterazione </w:t>
      </w:r>
      <w:proofErr w:type="spellStart"/>
      <w:r w:rsidRPr="004132B5">
        <w:rPr>
          <w:w w:val="105"/>
          <w:lang w:val="it-IT"/>
        </w:rPr>
        <w:t>neurofibrillare</w:t>
      </w:r>
      <w:proofErr w:type="spellEnd"/>
      <w:r w:rsidRPr="004132B5">
        <w:rPr>
          <w:w w:val="105"/>
          <w:lang w:val="it-IT"/>
        </w:rPr>
        <w:t xml:space="preserve"> dovuta all’</w:t>
      </w:r>
      <w:proofErr w:type="spellStart"/>
      <w:r w:rsidRPr="004132B5">
        <w:rPr>
          <w:w w:val="105"/>
          <w:lang w:val="it-IT"/>
        </w:rPr>
        <w:t>iperfosforilazione</w:t>
      </w:r>
      <w:proofErr w:type="spellEnd"/>
      <w:r w:rsidRPr="004132B5">
        <w:rPr>
          <w:w w:val="105"/>
          <w:lang w:val="it-IT"/>
        </w:rPr>
        <w:t xml:space="preserve"> della proteina tau, in aree cerebrali corrispondenti a quelle colpite dalla MA nell’uomo (Oddo et al., 2003). Molti autori hanno dimostrano una disfunzione sinaptica localizzata e specifica, correlata con il caratteristico declino cognitivo che colpisce questi topi transgenici, secondo un modello che ricorda la malattia umana.</w:t>
      </w:r>
    </w:p>
    <w:p w:rsidR="00F0434D" w:rsidRPr="004132B5" w:rsidRDefault="00783421">
      <w:pPr>
        <w:pStyle w:val="Corpotesto"/>
        <w:spacing w:line="252" w:lineRule="auto"/>
        <w:ind w:left="717" w:right="708" w:firstLine="709"/>
        <w:jc w:val="both"/>
        <w:rPr>
          <w:lang w:val="it-IT"/>
        </w:rPr>
      </w:pPr>
      <w:r w:rsidRPr="004132B5">
        <w:rPr>
          <w:w w:val="105"/>
          <w:lang w:val="it-IT"/>
        </w:rPr>
        <w:t xml:space="preserve">La principale strategia sperimentale qui proposta prevede uno studio longitudinale </w:t>
      </w:r>
      <w:r w:rsidRPr="004132B5">
        <w:rPr>
          <w:spacing w:val="2"/>
          <w:w w:val="105"/>
          <w:lang w:val="it-IT"/>
        </w:rPr>
        <w:t xml:space="preserve">sul </w:t>
      </w:r>
      <w:r w:rsidRPr="004132B5">
        <w:rPr>
          <w:w w:val="105"/>
          <w:lang w:val="it-IT"/>
        </w:rPr>
        <w:t>modello murino di MA attraverso un approccio integrato che metterà in campo metodologie di indagine comportamentale (valutazione del fenotipo “depressivo-simile” attraverso vari test comportamentali ampiamente validati) e metodiche di immunoistochimica (valutazione della progressione della patologia</w:t>
      </w:r>
      <w:r w:rsidRPr="004132B5">
        <w:rPr>
          <w:spacing w:val="2"/>
          <w:w w:val="105"/>
          <w:lang w:val="it-IT"/>
        </w:rPr>
        <w:t xml:space="preserve"> </w:t>
      </w:r>
      <w:r w:rsidRPr="004132B5">
        <w:rPr>
          <w:w w:val="105"/>
          <w:lang w:val="it-IT"/>
        </w:rPr>
        <w:t>neurodegenerativa).</w:t>
      </w:r>
    </w:p>
    <w:p w:rsidR="00F0434D" w:rsidRPr="004132B5" w:rsidRDefault="00783421">
      <w:pPr>
        <w:pStyle w:val="Corpotesto"/>
        <w:spacing w:line="252" w:lineRule="auto"/>
        <w:ind w:left="717" w:right="709"/>
        <w:jc w:val="both"/>
        <w:rPr>
          <w:lang w:val="it-IT"/>
        </w:rPr>
      </w:pPr>
      <w:r w:rsidRPr="004132B5">
        <w:rPr>
          <w:w w:val="105"/>
          <w:lang w:val="it-IT"/>
        </w:rPr>
        <w:t xml:space="preserve">Saranno, quindi, utilizzati topi omozigoti 3xTg-MA e topi Non-Tg, come controllo. In particolare, il fenotipo depressivo-simile sarà valutato in topi di 2, 6 e 12 mesi di vita (tre gruppi sperimentali). Questi </w:t>
      </w:r>
      <w:r w:rsidRPr="004132B5">
        <w:rPr>
          <w:i/>
          <w:w w:val="105"/>
          <w:lang w:val="it-IT"/>
        </w:rPr>
        <w:t>time-</w:t>
      </w:r>
      <w:proofErr w:type="spellStart"/>
      <w:r w:rsidRPr="004132B5">
        <w:rPr>
          <w:i/>
          <w:w w:val="105"/>
          <w:lang w:val="it-IT"/>
        </w:rPr>
        <w:t>point</w:t>
      </w:r>
      <w:proofErr w:type="spellEnd"/>
      <w:r w:rsidRPr="004132B5">
        <w:rPr>
          <w:i/>
          <w:w w:val="105"/>
          <w:lang w:val="it-IT"/>
        </w:rPr>
        <w:t xml:space="preserve"> </w:t>
      </w:r>
      <w:r w:rsidRPr="004132B5">
        <w:rPr>
          <w:w w:val="105"/>
          <w:lang w:val="it-IT"/>
        </w:rPr>
        <w:t xml:space="preserve">sono stati selezionati sulla base della progressione della patologia nei topi 3xTg-MA. Inoltre per valutare l'effetto del trattamento antidepressivo, ciascun gruppo sperimentale sarà trattato in acuto con </w:t>
      </w:r>
      <w:proofErr w:type="spellStart"/>
      <w:r w:rsidRPr="004132B5">
        <w:rPr>
          <w:w w:val="105"/>
          <w:lang w:val="it-IT"/>
        </w:rPr>
        <w:t>desipramina</w:t>
      </w:r>
      <w:proofErr w:type="spellEnd"/>
      <w:r w:rsidRPr="004132B5">
        <w:rPr>
          <w:w w:val="105"/>
          <w:lang w:val="it-IT"/>
        </w:rPr>
        <w:t>, un antidepressivo convenzionale, alla dose di 10 mg/kg. I test comportamentali, a cui saranno sottoposti i topi, sono</w:t>
      </w:r>
      <w:r w:rsidRPr="004132B5">
        <w:rPr>
          <w:spacing w:val="51"/>
          <w:w w:val="105"/>
          <w:lang w:val="it-IT"/>
        </w:rPr>
        <w:t xml:space="preserve"> </w:t>
      </w:r>
      <w:r w:rsidRPr="004132B5">
        <w:rPr>
          <w:w w:val="105"/>
          <w:lang w:val="it-IT"/>
        </w:rPr>
        <w:t>ampiamente</w:t>
      </w:r>
      <w:r w:rsidRPr="004132B5">
        <w:rPr>
          <w:spacing w:val="52"/>
          <w:w w:val="105"/>
          <w:lang w:val="it-IT"/>
        </w:rPr>
        <w:t xml:space="preserve"> </w:t>
      </w:r>
      <w:r w:rsidRPr="004132B5">
        <w:rPr>
          <w:w w:val="105"/>
          <w:lang w:val="it-IT"/>
        </w:rPr>
        <w:t>usati per</w:t>
      </w:r>
      <w:r w:rsidRPr="004132B5">
        <w:rPr>
          <w:spacing w:val="51"/>
          <w:w w:val="105"/>
          <w:lang w:val="it-IT"/>
        </w:rPr>
        <w:t xml:space="preserve"> </w:t>
      </w:r>
      <w:r w:rsidRPr="004132B5">
        <w:rPr>
          <w:w w:val="105"/>
          <w:lang w:val="it-IT"/>
        </w:rPr>
        <w:t>valutare</w:t>
      </w:r>
      <w:r w:rsidRPr="004132B5">
        <w:rPr>
          <w:spacing w:val="52"/>
          <w:w w:val="105"/>
          <w:lang w:val="it-IT"/>
        </w:rPr>
        <w:t xml:space="preserve"> </w:t>
      </w:r>
      <w:r w:rsidRPr="004132B5">
        <w:rPr>
          <w:w w:val="105"/>
          <w:lang w:val="it-IT"/>
        </w:rPr>
        <w:t>l’efficacia</w:t>
      </w:r>
      <w:r w:rsidRPr="004132B5">
        <w:rPr>
          <w:spacing w:val="51"/>
          <w:w w:val="105"/>
          <w:lang w:val="it-IT"/>
        </w:rPr>
        <w:t xml:space="preserve"> </w:t>
      </w:r>
      <w:r w:rsidRPr="004132B5">
        <w:rPr>
          <w:w w:val="105"/>
          <w:lang w:val="it-IT"/>
        </w:rPr>
        <w:t>degli</w:t>
      </w:r>
      <w:r w:rsidRPr="004132B5">
        <w:rPr>
          <w:spacing w:val="51"/>
          <w:w w:val="105"/>
          <w:lang w:val="it-IT"/>
        </w:rPr>
        <w:t xml:space="preserve"> </w:t>
      </w:r>
      <w:r w:rsidRPr="004132B5">
        <w:rPr>
          <w:w w:val="105"/>
          <w:lang w:val="it-IT"/>
        </w:rPr>
        <w:t>antidepressivi:</w:t>
      </w:r>
      <w:r w:rsidRPr="004132B5">
        <w:rPr>
          <w:spacing w:val="51"/>
          <w:w w:val="105"/>
          <w:lang w:val="it-IT"/>
        </w:rPr>
        <w:t xml:space="preserve"> </w:t>
      </w:r>
      <w:r w:rsidRPr="004132B5">
        <w:rPr>
          <w:w w:val="105"/>
          <w:lang w:val="it-IT"/>
        </w:rPr>
        <w:t>il “</w:t>
      </w:r>
      <w:proofErr w:type="spellStart"/>
      <w:r w:rsidRPr="004132B5">
        <w:rPr>
          <w:w w:val="105"/>
          <w:lang w:val="it-IT"/>
        </w:rPr>
        <w:t>Forced</w:t>
      </w:r>
      <w:proofErr w:type="spellEnd"/>
      <w:r w:rsidRPr="004132B5">
        <w:rPr>
          <w:spacing w:val="52"/>
          <w:w w:val="105"/>
          <w:lang w:val="it-IT"/>
        </w:rPr>
        <w:t xml:space="preserve"> </w:t>
      </w:r>
      <w:proofErr w:type="spellStart"/>
      <w:r w:rsidRPr="004132B5">
        <w:rPr>
          <w:w w:val="105"/>
          <w:lang w:val="it-IT"/>
        </w:rPr>
        <w:t>Swimming</w:t>
      </w:r>
      <w:proofErr w:type="spellEnd"/>
    </w:p>
    <w:p w:rsidR="00F0434D" w:rsidRPr="004132B5" w:rsidRDefault="00F0434D">
      <w:pPr>
        <w:spacing w:line="252" w:lineRule="auto"/>
        <w:jc w:val="both"/>
        <w:rPr>
          <w:lang w:val="it-IT"/>
        </w:rPr>
        <w:sectPr w:rsidR="00F0434D" w:rsidRPr="004132B5">
          <w:pgSz w:w="11900" w:h="16840"/>
          <w:pgMar w:top="3360" w:right="700" w:bottom="1640" w:left="700" w:header="2270" w:footer="1448" w:gutter="0"/>
          <w:cols w:space="720"/>
        </w:sectPr>
      </w:pPr>
    </w:p>
    <w:p w:rsidR="00F0434D" w:rsidRPr="004132B5" w:rsidRDefault="00783421">
      <w:pPr>
        <w:pStyle w:val="Corpotesto"/>
        <w:spacing w:before="192" w:line="252" w:lineRule="auto"/>
        <w:ind w:left="717" w:right="710"/>
        <w:jc w:val="both"/>
        <w:rPr>
          <w:lang w:val="it-IT"/>
        </w:rPr>
      </w:pPr>
      <w:r>
        <w:rPr>
          <w:w w:val="105"/>
        </w:rPr>
        <w:lastRenderedPageBreak/>
        <w:t xml:space="preserve">Test” (FST) e </w:t>
      </w:r>
      <w:proofErr w:type="spellStart"/>
      <w:r>
        <w:rPr>
          <w:w w:val="105"/>
        </w:rPr>
        <w:t>il</w:t>
      </w:r>
      <w:proofErr w:type="spellEnd"/>
      <w:r>
        <w:rPr>
          <w:w w:val="105"/>
        </w:rPr>
        <w:t xml:space="preserve"> “Tail Suspension Test” (TST). </w:t>
      </w:r>
      <w:r w:rsidRPr="004132B5">
        <w:rPr>
          <w:w w:val="105"/>
          <w:lang w:val="it-IT"/>
        </w:rPr>
        <w:t>Questi test hanno una buona validità predittiva e permettono la rilevazione rapida ed economica di sostanze con potenziale attività antidepressiva-simile. L’FST e il TST sono basati sullo stesso principio, cioè sulla misura della durata dell'immobilità dei roditori quando sono esposti ad una situazione inevitabile di stress. La maggior parte di antidepressivi utilizzati clinicamente diminuiscono la durata di immobilità e aumentano la latenza all’immobilità nei due test comportamentali del FST e TST.</w:t>
      </w:r>
    </w:p>
    <w:p w:rsidR="00F0434D" w:rsidRPr="004132B5" w:rsidRDefault="00783421">
      <w:pPr>
        <w:pStyle w:val="Corpotesto"/>
        <w:spacing w:line="252" w:lineRule="auto"/>
        <w:ind w:left="717" w:right="710" w:firstLine="709"/>
        <w:jc w:val="both"/>
        <w:rPr>
          <w:lang w:val="it-IT"/>
        </w:rPr>
      </w:pPr>
      <w:r w:rsidRPr="004132B5">
        <w:rPr>
          <w:w w:val="105"/>
          <w:lang w:val="it-IT"/>
        </w:rPr>
        <w:t>Inoltre, al fine di correlare il profilo depressivo-simile con la progressione della patologia, i topi 3xTg-MA saranno sacrificati ed il loro cervello sarà sottoposto a studi di immunoistochimica per valutare la progressione della patologia.</w:t>
      </w:r>
    </w:p>
    <w:p w:rsidR="00F0434D" w:rsidRPr="004132B5" w:rsidRDefault="00783421">
      <w:pPr>
        <w:pStyle w:val="Corpotesto"/>
        <w:spacing w:line="252" w:lineRule="auto"/>
        <w:ind w:left="717" w:right="709" w:firstLine="709"/>
        <w:jc w:val="both"/>
        <w:rPr>
          <w:lang w:val="it-IT"/>
        </w:rPr>
      </w:pPr>
      <w:r w:rsidRPr="004132B5">
        <w:rPr>
          <w:w w:val="105"/>
          <w:lang w:val="it-IT"/>
        </w:rPr>
        <w:t xml:space="preserve">I risultati attesi ci consentiranno non solo di chiarire il ruolo che la </w:t>
      </w:r>
      <w:proofErr w:type="spellStart"/>
      <w:r w:rsidRPr="004132B5">
        <w:rPr>
          <w:w w:val="105"/>
          <w:lang w:val="it-IT"/>
        </w:rPr>
        <w:t>Abeta</w:t>
      </w:r>
      <w:proofErr w:type="spellEnd"/>
      <w:r w:rsidRPr="004132B5">
        <w:rPr>
          <w:w w:val="105"/>
          <w:lang w:val="it-IT"/>
        </w:rPr>
        <w:t xml:space="preserve"> intra- ed extra-cellulare svolge sulle eventuali alterazioni comportamentali, ma, soprattutto, ci permetteranno di gettare le basi per una nuova probabile strategia terapeutica nella cura della depressione associata alla MA.</w:t>
      </w:r>
    </w:p>
    <w:p w:rsidR="00F0434D" w:rsidRPr="004132B5" w:rsidRDefault="00F0434D">
      <w:pPr>
        <w:pStyle w:val="Corpotesto"/>
        <w:spacing w:before="5"/>
        <w:rPr>
          <w:lang w:val="it-IT"/>
        </w:rPr>
      </w:pPr>
    </w:p>
    <w:p w:rsidR="00F0434D" w:rsidRPr="004132B5" w:rsidRDefault="00783421">
      <w:pPr>
        <w:ind w:left="717"/>
        <w:rPr>
          <w:i/>
          <w:sz w:val="21"/>
          <w:lang w:val="it-IT"/>
        </w:rPr>
      </w:pPr>
      <w:r w:rsidRPr="004132B5">
        <w:rPr>
          <w:i/>
          <w:w w:val="105"/>
          <w:sz w:val="21"/>
          <w:lang w:val="it-IT"/>
        </w:rPr>
        <w:t>SCOPO 2: STUDIO CLINICO</w:t>
      </w:r>
    </w:p>
    <w:p w:rsidR="00F0434D" w:rsidRPr="004132B5" w:rsidRDefault="00F0434D">
      <w:pPr>
        <w:pStyle w:val="Corpotesto"/>
        <w:spacing w:before="10"/>
        <w:rPr>
          <w:i/>
          <w:sz w:val="22"/>
          <w:lang w:val="it-IT"/>
        </w:rPr>
      </w:pPr>
    </w:p>
    <w:p w:rsidR="00F0434D" w:rsidRPr="004132B5" w:rsidRDefault="00783421">
      <w:pPr>
        <w:pStyle w:val="Corpotesto"/>
        <w:spacing w:line="252" w:lineRule="auto"/>
        <w:ind w:left="717" w:right="710"/>
        <w:jc w:val="both"/>
        <w:rPr>
          <w:lang w:val="it-IT"/>
        </w:rPr>
      </w:pPr>
      <w:r w:rsidRPr="004132B5">
        <w:rPr>
          <w:b/>
          <w:w w:val="105"/>
          <w:lang w:val="it-IT"/>
        </w:rPr>
        <w:t xml:space="preserve">Reclutamento dei pazienti e controlli sani. </w:t>
      </w:r>
      <w:r w:rsidRPr="004132B5">
        <w:rPr>
          <w:w w:val="105"/>
          <w:lang w:val="it-IT"/>
        </w:rPr>
        <w:t>Pazienti affetti da Depressione Maggiore saranno reclutati in modo consecutivo presso l’SPDC di Foggia e il centro di igiene mentale (CIM) di Foggia. Pazienti affetti da malattie cardiache (pazienti post-infartuati) saranno reclutati in modo consecutivo presso l’Ambulatorio della Divisione di Medicina Interna dell’Azienda Ospedaliero-Universitaria “Ospedali Riuniti” di Foggia. Si stima che i pazienti arruolati possano essere in numero di 160 (80 pazienti con depressione; 80 pazienti con patologie cardiache). Si stima che i controlli sani possano essere in numero di 80.</w:t>
      </w:r>
    </w:p>
    <w:p w:rsidR="00F0434D" w:rsidRPr="004132B5" w:rsidRDefault="00783421">
      <w:pPr>
        <w:pStyle w:val="Corpotesto"/>
        <w:spacing w:line="252" w:lineRule="auto"/>
        <w:ind w:left="717" w:right="707"/>
        <w:jc w:val="both"/>
        <w:rPr>
          <w:lang w:val="it-IT"/>
        </w:rPr>
      </w:pPr>
      <w:r w:rsidRPr="004132B5">
        <w:rPr>
          <w:b/>
          <w:w w:val="105"/>
          <w:lang w:val="it-IT"/>
        </w:rPr>
        <w:t xml:space="preserve">Criteri di inclusione ed esclusione. </w:t>
      </w:r>
      <w:r w:rsidRPr="004132B5">
        <w:rPr>
          <w:w w:val="105"/>
          <w:lang w:val="it-IT"/>
        </w:rPr>
        <w:t xml:space="preserve">I pazienti partecipanti allo studio avranno un </w:t>
      </w:r>
      <w:proofErr w:type="spellStart"/>
      <w:r w:rsidRPr="004132B5">
        <w:rPr>
          <w:w w:val="105"/>
          <w:lang w:val="it-IT"/>
        </w:rPr>
        <w:t>range</w:t>
      </w:r>
      <w:proofErr w:type="spellEnd"/>
      <w:r w:rsidRPr="004132B5">
        <w:rPr>
          <w:w w:val="105"/>
          <w:lang w:val="it-IT"/>
        </w:rPr>
        <w:t xml:space="preserve"> di età di 18-65 anni. I pazienti con ritardo mentale o che abbiano un danno organico cerebrale, o una malattia neurologica, o una significativa storia di alcolismo o di abuso di sostanze negli ultimi sei mesi, non verranno inclusi. La presenza di </w:t>
      </w:r>
      <w:proofErr w:type="spellStart"/>
      <w:r w:rsidRPr="004132B5">
        <w:rPr>
          <w:w w:val="105"/>
          <w:lang w:val="it-IT"/>
        </w:rPr>
        <w:t>comorbidità</w:t>
      </w:r>
      <w:proofErr w:type="spellEnd"/>
      <w:r w:rsidRPr="004132B5">
        <w:rPr>
          <w:w w:val="105"/>
          <w:lang w:val="it-IT"/>
        </w:rPr>
        <w:t xml:space="preserve"> psichiatrica (associata o meno alla depressione) non costituirà un criterio di esclusione. Ai pazienti verrà richiesto il consenso informato alla partecipazione. Si raccoglieranno anche dati provenienti da un gruppo di controlli sani volontari che saranno confrontati per età, sesso. Gli individui che avranno un ritardo mentale o che abbiano un danno organico cerebrale, o una malattia neurologica, o una significativa storia di alcolismo o di abuso di sostanze negli ultimi sei mesi saranno esclusi dal gruppo di controllo. I soggetti normali verranno studiati seguendo lo stesso protocollo. A tutti i partecipanti allo studio verrà richiesto il consenso informato alla partecipazione.</w:t>
      </w:r>
    </w:p>
    <w:p w:rsidR="00F0434D" w:rsidRPr="004132B5" w:rsidRDefault="00783421">
      <w:pPr>
        <w:pStyle w:val="Corpotesto"/>
        <w:spacing w:line="247" w:lineRule="auto"/>
        <w:ind w:left="717" w:right="711"/>
        <w:jc w:val="both"/>
        <w:rPr>
          <w:lang w:val="it-IT"/>
        </w:rPr>
      </w:pPr>
      <w:r w:rsidRPr="004132B5">
        <w:rPr>
          <w:b/>
          <w:w w:val="105"/>
          <w:lang w:val="it-IT"/>
        </w:rPr>
        <w:t xml:space="preserve">Procedure di indagine. </w:t>
      </w:r>
      <w:r w:rsidRPr="004132B5">
        <w:rPr>
          <w:w w:val="105"/>
          <w:lang w:val="it-IT"/>
        </w:rPr>
        <w:t xml:space="preserve">Lo studio sarà di tipo longitudinale. </w:t>
      </w:r>
      <w:proofErr w:type="gramStart"/>
      <w:r w:rsidRPr="004132B5">
        <w:rPr>
          <w:w w:val="105"/>
          <w:lang w:val="it-IT"/>
        </w:rPr>
        <w:t>Al baseline</w:t>
      </w:r>
      <w:proofErr w:type="gramEnd"/>
      <w:r w:rsidRPr="004132B5">
        <w:rPr>
          <w:w w:val="105"/>
          <w:lang w:val="it-IT"/>
        </w:rPr>
        <w:t xml:space="preserve"> (T0) i pazienti verranno sottoposti ai seguenti test e valutazioni:</w:t>
      </w:r>
    </w:p>
    <w:p w:rsidR="00F0434D" w:rsidRPr="004132B5" w:rsidRDefault="00783421">
      <w:pPr>
        <w:pStyle w:val="Corpotesto"/>
        <w:spacing w:line="252" w:lineRule="auto"/>
        <w:ind w:left="717" w:right="709"/>
        <w:jc w:val="both"/>
        <w:rPr>
          <w:lang w:val="it-IT"/>
        </w:rPr>
      </w:pPr>
      <w:r w:rsidRPr="004132B5">
        <w:rPr>
          <w:b/>
          <w:w w:val="105"/>
          <w:lang w:val="it-IT"/>
        </w:rPr>
        <w:t xml:space="preserve">Valutazione clinica. </w:t>
      </w:r>
      <w:r w:rsidRPr="004132B5">
        <w:rPr>
          <w:w w:val="105"/>
          <w:lang w:val="it-IT"/>
        </w:rPr>
        <w:t xml:space="preserve">Per ogni paziente e controllo sano è prevista la compilazione di una scheda che include le seguenti informazioni: numero ID; età; sesso; istruzione (anni di scolarità), stato civile; lavoro; stile di vita (attività fisica, fumo di sigaretta); data di esordio della depressione o della malattia cardiaca; trattamento in corso; </w:t>
      </w:r>
      <w:proofErr w:type="spellStart"/>
      <w:r w:rsidRPr="004132B5">
        <w:rPr>
          <w:w w:val="105"/>
          <w:lang w:val="it-IT"/>
        </w:rPr>
        <w:t>altra</w:t>
      </w:r>
      <w:proofErr w:type="spellEnd"/>
      <w:r w:rsidRPr="004132B5">
        <w:rPr>
          <w:w w:val="105"/>
          <w:lang w:val="it-IT"/>
        </w:rPr>
        <w:t xml:space="preserve"> patologie croniche in atto; altri trattamenti medici in corso. Ai partecipanti verrà richiesto di fornire un campione di</w:t>
      </w:r>
    </w:p>
    <w:p w:rsidR="00F0434D" w:rsidRPr="004132B5" w:rsidRDefault="00F0434D">
      <w:pPr>
        <w:spacing w:line="252" w:lineRule="auto"/>
        <w:jc w:val="both"/>
        <w:rPr>
          <w:lang w:val="it-IT"/>
        </w:rPr>
        <w:sectPr w:rsidR="00F0434D" w:rsidRPr="004132B5">
          <w:pgSz w:w="11900" w:h="16840"/>
          <w:pgMar w:top="3360" w:right="700" w:bottom="1640" w:left="700" w:header="2270" w:footer="1448" w:gutter="0"/>
          <w:cols w:space="720"/>
        </w:sectPr>
      </w:pPr>
    </w:p>
    <w:p w:rsidR="00F0434D" w:rsidRPr="004132B5" w:rsidRDefault="00783421">
      <w:pPr>
        <w:spacing w:before="192"/>
        <w:ind w:left="717"/>
        <w:jc w:val="both"/>
        <w:rPr>
          <w:i/>
          <w:sz w:val="21"/>
          <w:lang w:val="it-IT"/>
        </w:rPr>
      </w:pPr>
      <w:r w:rsidRPr="004132B5">
        <w:rPr>
          <w:w w:val="105"/>
          <w:sz w:val="21"/>
          <w:lang w:val="it-IT"/>
        </w:rPr>
        <w:lastRenderedPageBreak/>
        <w:t>sangue per la valutazione degli indici biochimici di interesse (</w:t>
      </w:r>
      <w:r w:rsidRPr="004132B5">
        <w:rPr>
          <w:i/>
          <w:w w:val="105"/>
          <w:sz w:val="21"/>
          <w:lang w:val="it-IT"/>
        </w:rPr>
        <w:t xml:space="preserve">interleukin-6 </w:t>
      </w:r>
      <w:r w:rsidRPr="004132B5">
        <w:rPr>
          <w:w w:val="105"/>
          <w:sz w:val="21"/>
          <w:lang w:val="it-IT"/>
        </w:rPr>
        <w:t xml:space="preserve">(IL-6), </w:t>
      </w:r>
      <w:proofErr w:type="spellStart"/>
      <w:r w:rsidRPr="004132B5">
        <w:rPr>
          <w:i/>
          <w:w w:val="105"/>
          <w:sz w:val="21"/>
          <w:lang w:val="it-IT"/>
        </w:rPr>
        <w:t>interleukin</w:t>
      </w:r>
      <w:proofErr w:type="spellEnd"/>
      <w:r w:rsidRPr="004132B5">
        <w:rPr>
          <w:i/>
          <w:w w:val="105"/>
          <w:sz w:val="21"/>
          <w:lang w:val="it-IT"/>
        </w:rPr>
        <w:t>-</w:t>
      </w:r>
    </w:p>
    <w:p w:rsidR="00F0434D" w:rsidRPr="004132B5" w:rsidRDefault="00783421">
      <w:pPr>
        <w:pStyle w:val="Corpotesto"/>
        <w:spacing w:before="12" w:line="252" w:lineRule="auto"/>
        <w:ind w:left="717" w:right="710"/>
        <w:jc w:val="both"/>
        <w:rPr>
          <w:lang w:val="it-IT"/>
        </w:rPr>
      </w:pPr>
      <w:r w:rsidRPr="004132B5">
        <w:rPr>
          <w:i/>
          <w:w w:val="105"/>
          <w:lang w:val="it-IT"/>
        </w:rPr>
        <w:t xml:space="preserve">18 </w:t>
      </w:r>
      <w:r w:rsidRPr="004132B5">
        <w:rPr>
          <w:w w:val="105"/>
          <w:lang w:val="it-IT"/>
        </w:rPr>
        <w:t xml:space="preserve">(IL-18), </w:t>
      </w:r>
      <w:proofErr w:type="spellStart"/>
      <w:r w:rsidRPr="004132B5">
        <w:rPr>
          <w:i/>
          <w:w w:val="105"/>
          <w:lang w:val="it-IT"/>
        </w:rPr>
        <w:t>tumor</w:t>
      </w:r>
      <w:proofErr w:type="spellEnd"/>
      <w:r w:rsidRPr="004132B5">
        <w:rPr>
          <w:i/>
          <w:w w:val="105"/>
          <w:lang w:val="it-IT"/>
        </w:rPr>
        <w:t xml:space="preserve"> </w:t>
      </w:r>
      <w:proofErr w:type="spellStart"/>
      <w:r w:rsidRPr="004132B5">
        <w:rPr>
          <w:i/>
          <w:w w:val="105"/>
          <w:lang w:val="it-IT"/>
        </w:rPr>
        <w:t>necrosis</w:t>
      </w:r>
      <w:proofErr w:type="spellEnd"/>
      <w:r w:rsidRPr="004132B5">
        <w:rPr>
          <w:i/>
          <w:w w:val="105"/>
          <w:lang w:val="it-IT"/>
        </w:rPr>
        <w:t xml:space="preserve"> </w:t>
      </w:r>
      <w:proofErr w:type="spellStart"/>
      <w:r w:rsidRPr="004132B5">
        <w:rPr>
          <w:i/>
          <w:w w:val="105"/>
          <w:lang w:val="it-IT"/>
        </w:rPr>
        <w:t>factor</w:t>
      </w:r>
      <w:proofErr w:type="spellEnd"/>
      <w:r w:rsidRPr="004132B5">
        <w:rPr>
          <w:i/>
          <w:w w:val="105"/>
          <w:lang w:val="it-IT"/>
        </w:rPr>
        <w:t xml:space="preserve"> </w:t>
      </w:r>
      <w:proofErr w:type="spellStart"/>
      <w:r w:rsidRPr="004132B5">
        <w:rPr>
          <w:i/>
          <w:w w:val="105"/>
          <w:lang w:val="it-IT"/>
        </w:rPr>
        <w:t>alpha</w:t>
      </w:r>
      <w:proofErr w:type="spellEnd"/>
      <w:r w:rsidRPr="004132B5">
        <w:rPr>
          <w:i/>
          <w:w w:val="105"/>
          <w:lang w:val="it-IT"/>
        </w:rPr>
        <w:t xml:space="preserve"> </w:t>
      </w:r>
      <w:r w:rsidRPr="004132B5">
        <w:rPr>
          <w:w w:val="105"/>
          <w:lang w:val="it-IT"/>
        </w:rPr>
        <w:t>(TNF</w:t>
      </w:r>
      <w:r>
        <w:rPr>
          <w:w w:val="105"/>
        </w:rPr>
        <w:t>α</w:t>
      </w:r>
      <w:r w:rsidRPr="004132B5">
        <w:rPr>
          <w:w w:val="105"/>
          <w:lang w:val="it-IT"/>
        </w:rPr>
        <w:t xml:space="preserve">), </w:t>
      </w:r>
      <w:r w:rsidRPr="004132B5">
        <w:rPr>
          <w:i/>
          <w:w w:val="105"/>
          <w:lang w:val="it-IT"/>
        </w:rPr>
        <w:t xml:space="preserve">interleukin2receptor </w:t>
      </w:r>
      <w:r w:rsidRPr="004132B5">
        <w:rPr>
          <w:w w:val="105"/>
          <w:lang w:val="it-IT"/>
        </w:rPr>
        <w:t xml:space="preserve">(sIL-2R); PCR unitamente a indici biochimici metabolici e di funzione generale quali: Colesterolo </w:t>
      </w:r>
      <w:proofErr w:type="gramStart"/>
      <w:r w:rsidRPr="004132B5">
        <w:rPr>
          <w:w w:val="105"/>
          <w:lang w:val="it-IT"/>
        </w:rPr>
        <w:t xml:space="preserve">totale,  </w:t>
      </w:r>
      <w:proofErr w:type="spellStart"/>
      <w:r w:rsidRPr="004132B5">
        <w:rPr>
          <w:w w:val="105"/>
          <w:lang w:val="it-IT"/>
        </w:rPr>
        <w:t>Hdl</w:t>
      </w:r>
      <w:proofErr w:type="spellEnd"/>
      <w:proofErr w:type="gramEnd"/>
      <w:r w:rsidRPr="004132B5">
        <w:rPr>
          <w:w w:val="105"/>
          <w:lang w:val="it-IT"/>
        </w:rPr>
        <w:t xml:space="preserve">, </w:t>
      </w:r>
      <w:proofErr w:type="spellStart"/>
      <w:r w:rsidRPr="004132B5">
        <w:rPr>
          <w:w w:val="105"/>
          <w:lang w:val="it-IT"/>
        </w:rPr>
        <w:t>Ldl</w:t>
      </w:r>
      <w:proofErr w:type="spellEnd"/>
      <w:r w:rsidRPr="004132B5">
        <w:rPr>
          <w:w w:val="105"/>
          <w:lang w:val="it-IT"/>
        </w:rPr>
        <w:t xml:space="preserve">, </w:t>
      </w:r>
      <w:proofErr w:type="spellStart"/>
      <w:r w:rsidRPr="004132B5">
        <w:rPr>
          <w:w w:val="105"/>
          <w:lang w:val="it-IT"/>
        </w:rPr>
        <w:t>Trigliceridemia</w:t>
      </w:r>
      <w:proofErr w:type="spellEnd"/>
      <w:r w:rsidRPr="004132B5">
        <w:rPr>
          <w:w w:val="105"/>
          <w:lang w:val="it-IT"/>
        </w:rPr>
        <w:t xml:space="preserve">, </w:t>
      </w:r>
      <w:proofErr w:type="spellStart"/>
      <w:r w:rsidRPr="004132B5">
        <w:rPr>
          <w:w w:val="105"/>
          <w:lang w:val="it-IT"/>
        </w:rPr>
        <w:t>Insulinemia</w:t>
      </w:r>
      <w:proofErr w:type="spellEnd"/>
      <w:r w:rsidRPr="004132B5">
        <w:rPr>
          <w:w w:val="105"/>
          <w:lang w:val="it-IT"/>
        </w:rPr>
        <w:t xml:space="preserve"> , Glicemia, Emoglobina </w:t>
      </w:r>
      <w:proofErr w:type="spellStart"/>
      <w:r w:rsidRPr="004132B5">
        <w:rPr>
          <w:w w:val="105"/>
          <w:lang w:val="it-IT"/>
        </w:rPr>
        <w:t>glicata</w:t>
      </w:r>
      <w:proofErr w:type="spellEnd"/>
      <w:r w:rsidRPr="004132B5">
        <w:rPr>
          <w:w w:val="105"/>
          <w:lang w:val="it-IT"/>
        </w:rPr>
        <w:t xml:space="preserve">, Got, </w:t>
      </w:r>
      <w:proofErr w:type="spellStart"/>
      <w:r w:rsidRPr="004132B5">
        <w:rPr>
          <w:w w:val="105"/>
          <w:lang w:val="it-IT"/>
        </w:rPr>
        <w:t>Gpt</w:t>
      </w:r>
      <w:proofErr w:type="spellEnd"/>
      <w:r w:rsidRPr="004132B5">
        <w:rPr>
          <w:w w:val="105"/>
          <w:lang w:val="it-IT"/>
        </w:rPr>
        <w:t xml:space="preserve">, </w:t>
      </w:r>
      <w:r w:rsidRPr="004132B5">
        <w:rPr>
          <w:spacing w:val="2"/>
          <w:w w:val="105"/>
          <w:lang w:val="it-IT"/>
        </w:rPr>
        <w:t xml:space="preserve">Gamma </w:t>
      </w:r>
      <w:proofErr w:type="spellStart"/>
      <w:r w:rsidRPr="004132B5">
        <w:rPr>
          <w:w w:val="105"/>
          <w:lang w:val="it-IT"/>
        </w:rPr>
        <w:t>gt</w:t>
      </w:r>
      <w:proofErr w:type="spellEnd"/>
      <w:r w:rsidRPr="004132B5">
        <w:rPr>
          <w:w w:val="105"/>
          <w:lang w:val="it-IT"/>
        </w:rPr>
        <w:t xml:space="preserve">, Uricemia, </w:t>
      </w:r>
      <w:proofErr w:type="spellStart"/>
      <w:r w:rsidRPr="004132B5">
        <w:rPr>
          <w:w w:val="105"/>
          <w:lang w:val="it-IT"/>
        </w:rPr>
        <w:t>Creatininemia</w:t>
      </w:r>
      <w:proofErr w:type="spellEnd"/>
      <w:r w:rsidRPr="004132B5">
        <w:rPr>
          <w:w w:val="105"/>
          <w:lang w:val="it-IT"/>
        </w:rPr>
        <w:t xml:space="preserve">, </w:t>
      </w:r>
      <w:proofErr w:type="spellStart"/>
      <w:r w:rsidRPr="004132B5">
        <w:rPr>
          <w:w w:val="105"/>
          <w:lang w:val="it-IT"/>
        </w:rPr>
        <w:t>eGFR</w:t>
      </w:r>
      <w:proofErr w:type="spellEnd"/>
      <w:r w:rsidRPr="004132B5">
        <w:rPr>
          <w:w w:val="105"/>
          <w:lang w:val="it-IT"/>
        </w:rPr>
        <w:t xml:space="preserve">, </w:t>
      </w:r>
      <w:proofErr w:type="spellStart"/>
      <w:r w:rsidRPr="004132B5">
        <w:rPr>
          <w:w w:val="105"/>
          <w:lang w:val="it-IT"/>
        </w:rPr>
        <w:t>blirubinemia</w:t>
      </w:r>
      <w:proofErr w:type="spellEnd"/>
      <w:r w:rsidRPr="004132B5">
        <w:rPr>
          <w:w w:val="105"/>
          <w:lang w:val="it-IT"/>
        </w:rPr>
        <w:t xml:space="preserve"> totale e frazionata, elettroforesi proteica, emocromo, albuminemia, potassiemia, </w:t>
      </w:r>
      <w:proofErr w:type="spellStart"/>
      <w:r w:rsidRPr="004132B5">
        <w:rPr>
          <w:w w:val="105"/>
          <w:lang w:val="it-IT"/>
        </w:rPr>
        <w:t>cloremia</w:t>
      </w:r>
      <w:proofErr w:type="spellEnd"/>
      <w:r w:rsidRPr="004132B5">
        <w:rPr>
          <w:w w:val="105"/>
          <w:lang w:val="it-IT"/>
        </w:rPr>
        <w:t xml:space="preserve">, </w:t>
      </w:r>
      <w:proofErr w:type="spellStart"/>
      <w:r w:rsidRPr="004132B5">
        <w:rPr>
          <w:w w:val="105"/>
          <w:lang w:val="it-IT"/>
        </w:rPr>
        <w:t>sodiemia</w:t>
      </w:r>
      <w:proofErr w:type="spellEnd"/>
      <w:r w:rsidRPr="004132B5">
        <w:rPr>
          <w:w w:val="105"/>
          <w:lang w:val="it-IT"/>
        </w:rPr>
        <w:t xml:space="preserve">, </w:t>
      </w:r>
      <w:proofErr w:type="spellStart"/>
      <w:r w:rsidRPr="004132B5">
        <w:rPr>
          <w:w w:val="105"/>
          <w:lang w:val="it-IT"/>
        </w:rPr>
        <w:t>sideremia</w:t>
      </w:r>
      <w:proofErr w:type="spellEnd"/>
      <w:r w:rsidRPr="004132B5">
        <w:rPr>
          <w:w w:val="105"/>
          <w:lang w:val="it-IT"/>
        </w:rPr>
        <w:t xml:space="preserve">, ferritina, </w:t>
      </w:r>
      <w:proofErr w:type="spellStart"/>
      <w:r w:rsidRPr="004132B5">
        <w:rPr>
          <w:w w:val="105"/>
          <w:lang w:val="it-IT"/>
        </w:rPr>
        <w:t>trasnferrinemia</w:t>
      </w:r>
      <w:proofErr w:type="spellEnd"/>
      <w:r w:rsidRPr="004132B5">
        <w:rPr>
          <w:w w:val="105"/>
          <w:lang w:val="it-IT"/>
        </w:rPr>
        <w:t>, esame urine.</w:t>
      </w:r>
    </w:p>
    <w:p w:rsidR="00F0434D" w:rsidRPr="004132B5" w:rsidRDefault="00783421">
      <w:pPr>
        <w:pStyle w:val="Corpotesto"/>
        <w:spacing w:line="252" w:lineRule="auto"/>
        <w:ind w:left="717" w:right="710"/>
        <w:jc w:val="both"/>
        <w:rPr>
          <w:lang w:val="it-IT"/>
        </w:rPr>
      </w:pPr>
      <w:r w:rsidRPr="004132B5">
        <w:rPr>
          <w:b/>
          <w:w w:val="105"/>
          <w:lang w:val="it-IT"/>
        </w:rPr>
        <w:t xml:space="preserve">Intervista Clinica/Diagnostica. </w:t>
      </w:r>
      <w:r w:rsidRPr="004132B5">
        <w:rPr>
          <w:w w:val="105"/>
          <w:lang w:val="it-IT"/>
        </w:rPr>
        <w:t xml:space="preserve">Le interviste cliniche e diagnostiche dureranno da 30 a 90 minuti. Tutti pazienti verranno valutati da uno psichiatra con la Mini International </w:t>
      </w:r>
      <w:proofErr w:type="spellStart"/>
      <w:r w:rsidRPr="004132B5">
        <w:rPr>
          <w:w w:val="105"/>
          <w:lang w:val="it-IT"/>
        </w:rPr>
        <w:t>Neuropsychiatric</w:t>
      </w:r>
      <w:proofErr w:type="spellEnd"/>
      <w:r w:rsidRPr="004132B5">
        <w:rPr>
          <w:w w:val="105"/>
          <w:lang w:val="it-IT"/>
        </w:rPr>
        <w:t xml:space="preserve"> </w:t>
      </w:r>
      <w:proofErr w:type="spellStart"/>
      <w:r w:rsidRPr="004132B5">
        <w:rPr>
          <w:w w:val="105"/>
          <w:lang w:val="it-IT"/>
        </w:rPr>
        <w:t>Interview</w:t>
      </w:r>
      <w:proofErr w:type="spellEnd"/>
      <w:r w:rsidRPr="004132B5">
        <w:rPr>
          <w:w w:val="105"/>
          <w:lang w:val="it-IT"/>
        </w:rPr>
        <w:t xml:space="preserve"> (MINI) per la valutazione di patologie psichiatriche ed effettueranno i seguenti test autosomministrati: </w:t>
      </w:r>
      <w:r w:rsidRPr="004132B5">
        <w:rPr>
          <w:i/>
          <w:w w:val="105"/>
          <w:lang w:val="it-IT"/>
        </w:rPr>
        <w:t xml:space="preserve">Beck </w:t>
      </w:r>
      <w:proofErr w:type="spellStart"/>
      <w:r w:rsidRPr="004132B5">
        <w:rPr>
          <w:i/>
          <w:w w:val="105"/>
          <w:lang w:val="it-IT"/>
        </w:rPr>
        <w:t>Depression</w:t>
      </w:r>
      <w:proofErr w:type="spellEnd"/>
      <w:r w:rsidRPr="004132B5">
        <w:rPr>
          <w:i/>
          <w:w w:val="105"/>
          <w:lang w:val="it-IT"/>
        </w:rPr>
        <w:t xml:space="preserve"> Inventory </w:t>
      </w:r>
      <w:r w:rsidRPr="004132B5">
        <w:rPr>
          <w:w w:val="105"/>
          <w:lang w:val="it-IT"/>
        </w:rPr>
        <w:t xml:space="preserve">(BDI) per la valutazione della depressione; DCPR per la diagnosi psicosomatica limitatamente alle sindromi: demoralizzazione, somatizzazione persistente e umore irritabile; questionario per la valutazione dei sintomi somatici il </w:t>
      </w:r>
      <w:proofErr w:type="spellStart"/>
      <w:r w:rsidRPr="004132B5">
        <w:rPr>
          <w:i/>
          <w:w w:val="105"/>
          <w:lang w:val="it-IT"/>
        </w:rPr>
        <w:t>Patient</w:t>
      </w:r>
      <w:proofErr w:type="spellEnd"/>
      <w:r w:rsidRPr="004132B5">
        <w:rPr>
          <w:i/>
          <w:w w:val="105"/>
          <w:lang w:val="it-IT"/>
        </w:rPr>
        <w:t xml:space="preserve"> </w:t>
      </w:r>
      <w:proofErr w:type="spellStart"/>
      <w:r w:rsidRPr="004132B5">
        <w:rPr>
          <w:i/>
          <w:w w:val="105"/>
          <w:lang w:val="it-IT"/>
        </w:rPr>
        <w:t>Health</w:t>
      </w:r>
      <w:proofErr w:type="spellEnd"/>
      <w:r w:rsidRPr="004132B5">
        <w:rPr>
          <w:i/>
          <w:w w:val="105"/>
          <w:lang w:val="it-IT"/>
        </w:rPr>
        <w:t xml:space="preserve"> </w:t>
      </w:r>
      <w:proofErr w:type="spellStart"/>
      <w:r w:rsidRPr="004132B5">
        <w:rPr>
          <w:i/>
          <w:w w:val="105"/>
          <w:lang w:val="it-IT"/>
        </w:rPr>
        <w:t>Questionnaire</w:t>
      </w:r>
      <w:proofErr w:type="spellEnd"/>
      <w:r w:rsidRPr="004132B5">
        <w:rPr>
          <w:i/>
          <w:spacing w:val="-4"/>
          <w:w w:val="105"/>
          <w:lang w:val="it-IT"/>
        </w:rPr>
        <w:t xml:space="preserve"> </w:t>
      </w:r>
      <w:r w:rsidRPr="004132B5">
        <w:rPr>
          <w:w w:val="105"/>
          <w:lang w:val="it-IT"/>
        </w:rPr>
        <w:t>(PHQ-15).</w:t>
      </w:r>
    </w:p>
    <w:p w:rsidR="00F0434D" w:rsidRPr="004132B5" w:rsidRDefault="00783421">
      <w:pPr>
        <w:pStyle w:val="Corpotesto"/>
        <w:spacing w:line="252" w:lineRule="auto"/>
        <w:ind w:left="717" w:right="708"/>
        <w:jc w:val="both"/>
        <w:rPr>
          <w:lang w:val="it-IT"/>
        </w:rPr>
      </w:pPr>
      <w:r w:rsidRPr="004132B5">
        <w:rPr>
          <w:b/>
          <w:w w:val="105"/>
          <w:lang w:val="it-IT"/>
        </w:rPr>
        <w:t>Valutazione metabolico-nutrizionale</w:t>
      </w:r>
      <w:r w:rsidRPr="004132B5">
        <w:rPr>
          <w:w w:val="105"/>
          <w:lang w:val="it-IT"/>
        </w:rPr>
        <w:t xml:space="preserve">: tutti i pazienti arruolati saranno sottoposti a visita medica metabolico-nutrizionale che prevede i seguenti </w:t>
      </w:r>
      <w:proofErr w:type="spellStart"/>
      <w:r w:rsidRPr="004132B5">
        <w:rPr>
          <w:i/>
          <w:w w:val="105"/>
          <w:lang w:val="it-IT"/>
        </w:rPr>
        <w:t>steps</w:t>
      </w:r>
      <w:proofErr w:type="spellEnd"/>
      <w:r w:rsidRPr="004132B5">
        <w:rPr>
          <w:i/>
          <w:w w:val="105"/>
          <w:lang w:val="it-IT"/>
        </w:rPr>
        <w:t xml:space="preserve"> </w:t>
      </w:r>
      <w:r w:rsidRPr="004132B5">
        <w:rPr>
          <w:w w:val="105"/>
          <w:lang w:val="it-IT"/>
        </w:rPr>
        <w:t xml:space="preserve">operativi, anamnesi generale ed alimentare, antropometria, valutazione della composizione corporea mediante </w:t>
      </w:r>
      <w:proofErr w:type="spellStart"/>
      <w:r w:rsidRPr="004132B5">
        <w:rPr>
          <w:w w:val="105"/>
          <w:lang w:val="it-IT"/>
        </w:rPr>
        <w:t>bio</w:t>
      </w:r>
      <w:proofErr w:type="spellEnd"/>
      <w:r w:rsidRPr="004132B5">
        <w:rPr>
          <w:w w:val="105"/>
          <w:lang w:val="it-IT"/>
        </w:rPr>
        <w:t xml:space="preserve">- </w:t>
      </w:r>
      <w:proofErr w:type="spellStart"/>
      <w:r w:rsidRPr="004132B5">
        <w:rPr>
          <w:w w:val="105"/>
          <w:lang w:val="it-IT"/>
        </w:rPr>
        <w:t>impedenziometria</w:t>
      </w:r>
      <w:proofErr w:type="spellEnd"/>
      <w:r w:rsidRPr="004132B5">
        <w:rPr>
          <w:w w:val="105"/>
          <w:lang w:val="it-IT"/>
        </w:rPr>
        <w:t xml:space="preserve">. Per ciascun paziente sarà sviluppato un piano </w:t>
      </w:r>
      <w:proofErr w:type="spellStart"/>
      <w:r w:rsidRPr="004132B5">
        <w:rPr>
          <w:w w:val="105"/>
          <w:lang w:val="it-IT"/>
        </w:rPr>
        <w:t>dietoterapico</w:t>
      </w:r>
      <w:proofErr w:type="spellEnd"/>
      <w:r w:rsidRPr="004132B5">
        <w:rPr>
          <w:w w:val="105"/>
          <w:lang w:val="it-IT"/>
        </w:rPr>
        <w:t xml:space="preserve"> chetogenico personalizzato comprensivo di integrazione micro-nutrizionale. I pazienti saranno educati all’adozione del regime</w:t>
      </w:r>
      <w:r w:rsidRPr="004132B5">
        <w:rPr>
          <w:spacing w:val="1"/>
          <w:w w:val="105"/>
          <w:lang w:val="it-IT"/>
        </w:rPr>
        <w:t xml:space="preserve"> </w:t>
      </w:r>
      <w:r w:rsidRPr="004132B5">
        <w:rPr>
          <w:w w:val="105"/>
          <w:lang w:val="it-IT"/>
        </w:rPr>
        <w:t>chetogenico.</w:t>
      </w:r>
    </w:p>
    <w:p w:rsidR="00F0434D" w:rsidRPr="004132B5" w:rsidRDefault="00783421">
      <w:pPr>
        <w:pStyle w:val="Corpotesto"/>
        <w:spacing w:line="252" w:lineRule="auto"/>
        <w:ind w:left="717" w:right="711"/>
        <w:jc w:val="both"/>
        <w:rPr>
          <w:lang w:val="it-IT"/>
        </w:rPr>
      </w:pPr>
      <w:r w:rsidRPr="004132B5">
        <w:rPr>
          <w:b/>
          <w:w w:val="105"/>
          <w:lang w:val="it-IT"/>
        </w:rPr>
        <w:t xml:space="preserve">Follow-up. </w:t>
      </w:r>
      <w:r w:rsidRPr="004132B5">
        <w:rPr>
          <w:w w:val="105"/>
          <w:lang w:val="it-IT"/>
        </w:rPr>
        <w:t>I pazienti e i controlli sani verranno sottoposti al prelievo ematico per la valutazione dei livelli di citochine,</w:t>
      </w:r>
    </w:p>
    <w:p w:rsidR="00F0434D" w:rsidRPr="004132B5" w:rsidRDefault="00783421">
      <w:pPr>
        <w:pStyle w:val="Corpotesto"/>
        <w:spacing w:line="249" w:lineRule="auto"/>
        <w:ind w:left="717" w:right="708"/>
        <w:jc w:val="both"/>
        <w:rPr>
          <w:b/>
          <w:lang w:val="it-IT"/>
        </w:rPr>
      </w:pPr>
      <w:r w:rsidRPr="004132B5">
        <w:rPr>
          <w:w w:val="105"/>
          <w:sz w:val="24"/>
          <w:lang w:val="it-IT"/>
        </w:rPr>
        <w:t xml:space="preserve">degli </w:t>
      </w:r>
      <w:r w:rsidRPr="004132B5">
        <w:rPr>
          <w:w w:val="105"/>
          <w:lang w:val="it-IT"/>
        </w:rPr>
        <w:t xml:space="preserve">indici biochimici metabolici e di funzione generale nonché della valutazione metabolico–nutrizionale, alla </w:t>
      </w:r>
      <w:r w:rsidRPr="004132B5">
        <w:rPr>
          <w:i/>
          <w:w w:val="105"/>
          <w:lang w:val="it-IT"/>
        </w:rPr>
        <w:t xml:space="preserve">Beck </w:t>
      </w:r>
      <w:proofErr w:type="spellStart"/>
      <w:r w:rsidRPr="004132B5">
        <w:rPr>
          <w:i/>
          <w:w w:val="105"/>
          <w:lang w:val="it-IT"/>
        </w:rPr>
        <w:t>Depression</w:t>
      </w:r>
      <w:proofErr w:type="spellEnd"/>
      <w:r w:rsidRPr="004132B5">
        <w:rPr>
          <w:i/>
          <w:w w:val="105"/>
          <w:lang w:val="it-IT"/>
        </w:rPr>
        <w:t xml:space="preserve"> Inventory </w:t>
      </w:r>
      <w:r w:rsidRPr="004132B5">
        <w:rPr>
          <w:w w:val="105"/>
          <w:lang w:val="it-IT"/>
        </w:rPr>
        <w:t xml:space="preserve">(BDI) per la valutazione della depressione e intervista DCPR per la diagnosi psicosomatica, PHQ-15 per la valutazione dei sintomi somatici </w:t>
      </w:r>
      <w:proofErr w:type="gramStart"/>
      <w:r w:rsidRPr="004132B5">
        <w:rPr>
          <w:w w:val="105"/>
          <w:lang w:val="it-IT"/>
        </w:rPr>
        <w:t>del baseline</w:t>
      </w:r>
      <w:proofErr w:type="gramEnd"/>
      <w:r w:rsidRPr="004132B5">
        <w:rPr>
          <w:w w:val="105"/>
          <w:lang w:val="it-IT"/>
        </w:rPr>
        <w:t xml:space="preserve"> (T0) dopo 6 mesi (T1)</w:t>
      </w:r>
      <w:r w:rsidRPr="004132B5">
        <w:rPr>
          <w:b/>
          <w:w w:val="105"/>
          <w:lang w:val="it-IT"/>
        </w:rPr>
        <w:t>.</w:t>
      </w:r>
    </w:p>
    <w:p w:rsidR="00F0434D" w:rsidRPr="004132B5" w:rsidRDefault="00783421">
      <w:pPr>
        <w:pStyle w:val="Corpotesto"/>
        <w:spacing w:line="252" w:lineRule="auto"/>
        <w:ind w:left="717" w:right="709"/>
        <w:jc w:val="both"/>
        <w:rPr>
          <w:lang w:val="it-IT"/>
        </w:rPr>
      </w:pPr>
      <w:proofErr w:type="spellStart"/>
      <w:r w:rsidRPr="004132B5">
        <w:rPr>
          <w:b/>
          <w:w w:val="105"/>
          <w:lang w:val="it-IT"/>
        </w:rPr>
        <w:t>Outcome</w:t>
      </w:r>
      <w:proofErr w:type="spellEnd"/>
      <w:r w:rsidRPr="004132B5">
        <w:rPr>
          <w:b/>
          <w:w w:val="105"/>
          <w:lang w:val="it-IT"/>
        </w:rPr>
        <w:t xml:space="preserve">. </w:t>
      </w:r>
      <w:r w:rsidRPr="004132B5">
        <w:rPr>
          <w:w w:val="105"/>
          <w:lang w:val="it-IT"/>
        </w:rPr>
        <w:t xml:space="preserve">Associazione delle sindromi DCPR ad alterazioni </w:t>
      </w:r>
      <w:proofErr w:type="spellStart"/>
      <w:r w:rsidRPr="004132B5">
        <w:rPr>
          <w:w w:val="105"/>
          <w:lang w:val="it-IT"/>
        </w:rPr>
        <w:t>immunoinfiammatorie</w:t>
      </w:r>
      <w:proofErr w:type="spellEnd"/>
      <w:r w:rsidRPr="004132B5">
        <w:rPr>
          <w:w w:val="105"/>
          <w:lang w:val="it-IT"/>
        </w:rPr>
        <w:t xml:space="preserve"> nei pazienti con depressione (confronto tra pazienti con depressione con elevati livelli di citochine e pazienti senza alterazione dei livelli di citochine). Associazione delle sindromi DCPR alla depressione e alle malattie cardiache (confronto tra pazienti depressi con livelli elevati di citochine e pazienti con malattie cardiache). Valutazione del ruolo predittivo dello status </w:t>
      </w:r>
      <w:proofErr w:type="spellStart"/>
      <w:r w:rsidRPr="004132B5">
        <w:rPr>
          <w:w w:val="105"/>
          <w:lang w:val="it-IT"/>
        </w:rPr>
        <w:t>immunoinfiammatorio</w:t>
      </w:r>
      <w:proofErr w:type="spellEnd"/>
      <w:r w:rsidRPr="004132B5">
        <w:rPr>
          <w:w w:val="105"/>
          <w:lang w:val="it-IT"/>
        </w:rPr>
        <w:t xml:space="preserve"> sullo sviluppo di sindromi DCPR e sintomi depressivi e somatici. Valutare l’azione terapeutica adiuvante, derivante dalla adozione di un regime nutrizionale chetogenico, sia sulla modulazione del mood depressivo che sullo stato</w:t>
      </w:r>
      <w:r w:rsidRPr="004132B5">
        <w:rPr>
          <w:spacing w:val="-11"/>
          <w:w w:val="105"/>
          <w:lang w:val="it-IT"/>
        </w:rPr>
        <w:t xml:space="preserve"> </w:t>
      </w:r>
      <w:r w:rsidRPr="004132B5">
        <w:rPr>
          <w:w w:val="105"/>
          <w:lang w:val="it-IT"/>
        </w:rPr>
        <w:t>infiammatorio.</w:t>
      </w:r>
    </w:p>
    <w:p w:rsidR="00F0434D" w:rsidRPr="004132B5" w:rsidRDefault="00783421">
      <w:pPr>
        <w:pStyle w:val="Corpotesto"/>
        <w:spacing w:line="252" w:lineRule="auto"/>
        <w:ind w:left="717" w:right="713"/>
        <w:jc w:val="both"/>
        <w:rPr>
          <w:lang w:val="it-IT"/>
        </w:rPr>
      </w:pPr>
      <w:r w:rsidRPr="004132B5">
        <w:rPr>
          <w:b/>
          <w:w w:val="105"/>
          <w:lang w:val="it-IT"/>
        </w:rPr>
        <w:t xml:space="preserve">Analisi per sottogruppi. </w:t>
      </w:r>
      <w:r w:rsidRPr="004132B5">
        <w:rPr>
          <w:w w:val="105"/>
          <w:lang w:val="it-IT"/>
        </w:rPr>
        <w:t>Se la numerosità del campione lo consentirà verranno effettuate analisi anche per sottogruppi distinguendo pazienti con PCR &lt; 6mg/L e pazienti con PCR</w:t>
      </w:r>
    </w:p>
    <w:p w:rsidR="00F0434D" w:rsidRDefault="00783421">
      <w:pPr>
        <w:pStyle w:val="Corpotesto"/>
        <w:spacing w:line="238" w:lineRule="exact"/>
        <w:ind w:left="717"/>
        <w:jc w:val="both"/>
      </w:pPr>
      <w:r>
        <w:rPr>
          <w:w w:val="105"/>
        </w:rPr>
        <w:t>&gt;6mg/L.</w:t>
      </w:r>
    </w:p>
    <w:p w:rsidR="00F0434D" w:rsidRDefault="00F0434D">
      <w:pPr>
        <w:pStyle w:val="Corpotesto"/>
        <w:spacing w:before="4"/>
      </w:pPr>
    </w:p>
    <w:p w:rsidR="00F0434D" w:rsidRDefault="00783421">
      <w:pPr>
        <w:pStyle w:val="Titolo1"/>
        <w:jc w:val="both"/>
      </w:pPr>
      <w:proofErr w:type="spellStart"/>
      <w:r>
        <w:rPr>
          <w:w w:val="105"/>
        </w:rPr>
        <w:t>Bibliografia</w:t>
      </w:r>
      <w:proofErr w:type="spellEnd"/>
    </w:p>
    <w:p w:rsidR="00F0434D" w:rsidRDefault="00783421">
      <w:pPr>
        <w:pStyle w:val="Corpotesto"/>
        <w:spacing w:before="191"/>
        <w:ind w:left="717"/>
        <w:jc w:val="both"/>
      </w:pPr>
      <w:proofErr w:type="spellStart"/>
      <w:r>
        <w:rPr>
          <w:w w:val="105"/>
        </w:rPr>
        <w:t>Assal</w:t>
      </w:r>
      <w:proofErr w:type="spellEnd"/>
      <w:r>
        <w:rPr>
          <w:w w:val="105"/>
        </w:rPr>
        <w:t xml:space="preserve">, F., and Cummings, J. L. (2002). Neuropsychiatric symptoms in the dementias. </w:t>
      </w:r>
      <w:proofErr w:type="spellStart"/>
      <w:r>
        <w:rPr>
          <w:w w:val="105"/>
        </w:rPr>
        <w:t>Curr</w:t>
      </w:r>
      <w:proofErr w:type="spellEnd"/>
      <w:r>
        <w:rPr>
          <w:w w:val="105"/>
        </w:rPr>
        <w:t>.</w:t>
      </w:r>
    </w:p>
    <w:p w:rsidR="00F0434D" w:rsidRDefault="00783421">
      <w:pPr>
        <w:pStyle w:val="Corpotesto"/>
        <w:spacing w:before="8"/>
        <w:ind w:left="1410" w:right="2159"/>
        <w:jc w:val="center"/>
      </w:pPr>
      <w:proofErr w:type="spellStart"/>
      <w:r>
        <w:rPr>
          <w:w w:val="105"/>
        </w:rPr>
        <w:t>Opin</w:t>
      </w:r>
      <w:proofErr w:type="spellEnd"/>
      <w:r>
        <w:rPr>
          <w:w w:val="105"/>
        </w:rPr>
        <w:t xml:space="preserve">. Neurol. 15, 445–450. </w:t>
      </w:r>
      <w:proofErr w:type="spellStart"/>
      <w:r>
        <w:rPr>
          <w:w w:val="105"/>
        </w:rPr>
        <w:t>doi</w:t>
      </w:r>
      <w:proofErr w:type="spellEnd"/>
      <w:r>
        <w:rPr>
          <w:w w:val="105"/>
        </w:rPr>
        <w:t>: 10.1097/00019052-200208000-00007.</w:t>
      </w:r>
    </w:p>
    <w:p w:rsidR="00F0434D" w:rsidRDefault="00783421">
      <w:pPr>
        <w:pStyle w:val="Corpotesto"/>
        <w:spacing w:before="13"/>
        <w:ind w:left="717"/>
        <w:jc w:val="both"/>
      </w:pPr>
      <w:r>
        <w:rPr>
          <w:w w:val="105"/>
        </w:rPr>
        <w:t>Libby P. et al., Inflammation and atherosclerosis. Circulation 2002; 105: 1135-1143.</w:t>
      </w:r>
    </w:p>
    <w:p w:rsidR="00F0434D" w:rsidRDefault="00F0434D">
      <w:pPr>
        <w:jc w:val="both"/>
        <w:sectPr w:rsidR="00F0434D">
          <w:pgSz w:w="11900" w:h="16840"/>
          <w:pgMar w:top="3360" w:right="700" w:bottom="1640" w:left="700" w:header="2270" w:footer="1448" w:gutter="0"/>
          <w:cols w:space="720"/>
        </w:sectPr>
      </w:pPr>
    </w:p>
    <w:p w:rsidR="00F0434D" w:rsidRDefault="00783421">
      <w:pPr>
        <w:pStyle w:val="Corpotesto"/>
        <w:spacing w:before="192"/>
        <w:ind w:left="717"/>
      </w:pPr>
      <w:proofErr w:type="spellStart"/>
      <w:r>
        <w:rPr>
          <w:w w:val="105"/>
        </w:rPr>
        <w:lastRenderedPageBreak/>
        <w:t>Maes</w:t>
      </w:r>
      <w:proofErr w:type="spellEnd"/>
      <w:r>
        <w:rPr>
          <w:w w:val="105"/>
        </w:rPr>
        <w:t xml:space="preserve"> M. Evidence for an immune response in major response: a review and hypothesis.</w:t>
      </w:r>
    </w:p>
    <w:p w:rsidR="00F0434D" w:rsidRDefault="00783421">
      <w:pPr>
        <w:pStyle w:val="Corpotesto"/>
        <w:spacing w:before="12"/>
        <w:ind w:left="1437"/>
      </w:pPr>
      <w:proofErr w:type="spellStart"/>
      <w:r>
        <w:rPr>
          <w:w w:val="105"/>
        </w:rPr>
        <w:t>Prog</w:t>
      </w:r>
      <w:proofErr w:type="spellEnd"/>
      <w:r>
        <w:rPr>
          <w:w w:val="105"/>
        </w:rPr>
        <w:t xml:space="preserve"> </w:t>
      </w:r>
      <w:proofErr w:type="spellStart"/>
      <w:r>
        <w:rPr>
          <w:w w:val="105"/>
        </w:rPr>
        <w:t>Neuropsychopharmacol</w:t>
      </w:r>
      <w:proofErr w:type="spellEnd"/>
      <w:r>
        <w:rPr>
          <w:w w:val="105"/>
        </w:rPr>
        <w:t xml:space="preserve"> </w:t>
      </w:r>
      <w:proofErr w:type="spellStart"/>
      <w:r>
        <w:rPr>
          <w:w w:val="105"/>
        </w:rPr>
        <w:t>Biol</w:t>
      </w:r>
      <w:proofErr w:type="spellEnd"/>
      <w:r>
        <w:rPr>
          <w:w w:val="105"/>
        </w:rPr>
        <w:t xml:space="preserve"> Psychiatry 1995; 19:11.38.</w:t>
      </w:r>
    </w:p>
    <w:p w:rsidR="00F0434D" w:rsidRDefault="00783421">
      <w:pPr>
        <w:pStyle w:val="Corpotesto"/>
        <w:spacing w:before="13" w:line="247" w:lineRule="auto"/>
        <w:ind w:left="1437" w:right="710" w:hanging="720"/>
        <w:jc w:val="both"/>
      </w:pPr>
      <w:proofErr w:type="spellStart"/>
      <w:r>
        <w:rPr>
          <w:w w:val="105"/>
        </w:rPr>
        <w:t>Maes</w:t>
      </w:r>
      <w:proofErr w:type="spellEnd"/>
      <w:r>
        <w:rPr>
          <w:w w:val="105"/>
        </w:rPr>
        <w:t xml:space="preserve"> M. et al., Increased serum interleukin-1-receptor-antagonist concentrations in major depression. J Affect Disorder 1995; 36:29-36.</w:t>
      </w:r>
    </w:p>
    <w:p w:rsidR="00F0434D" w:rsidRDefault="00783421">
      <w:pPr>
        <w:pStyle w:val="Corpotesto"/>
        <w:spacing w:before="7" w:line="252" w:lineRule="auto"/>
        <w:ind w:left="1437" w:right="712" w:hanging="720"/>
        <w:jc w:val="both"/>
      </w:pPr>
      <w:proofErr w:type="spellStart"/>
      <w:r>
        <w:rPr>
          <w:w w:val="105"/>
        </w:rPr>
        <w:t>Modrego</w:t>
      </w:r>
      <w:proofErr w:type="spellEnd"/>
      <w:r>
        <w:rPr>
          <w:w w:val="105"/>
        </w:rPr>
        <w:t xml:space="preserve">, P. J. (2010). Depression in Alzheimer’s disease. Pathophysiology, diagnosis, and treatment. J. </w:t>
      </w:r>
      <w:proofErr w:type="spellStart"/>
      <w:r>
        <w:rPr>
          <w:w w:val="105"/>
        </w:rPr>
        <w:t>Alzheimers</w:t>
      </w:r>
      <w:proofErr w:type="spellEnd"/>
      <w:r>
        <w:rPr>
          <w:w w:val="105"/>
        </w:rPr>
        <w:t xml:space="preserve"> Dis. 21, 1077–1087. </w:t>
      </w:r>
      <w:proofErr w:type="spellStart"/>
      <w:r>
        <w:rPr>
          <w:w w:val="105"/>
        </w:rPr>
        <w:t>doi</w:t>
      </w:r>
      <w:proofErr w:type="spellEnd"/>
      <w:r>
        <w:rPr>
          <w:w w:val="105"/>
        </w:rPr>
        <w:t>: 10.3233/ JAD-2010-100153.</w:t>
      </w:r>
    </w:p>
    <w:p w:rsidR="00F0434D" w:rsidRDefault="00783421">
      <w:pPr>
        <w:pStyle w:val="Corpotesto"/>
        <w:spacing w:before="2" w:line="252" w:lineRule="auto"/>
        <w:ind w:left="1437" w:right="708" w:hanging="720"/>
        <w:jc w:val="both"/>
      </w:pPr>
      <w:proofErr w:type="spellStart"/>
      <w:r>
        <w:rPr>
          <w:w w:val="105"/>
        </w:rPr>
        <w:t>Oddo</w:t>
      </w:r>
      <w:proofErr w:type="spellEnd"/>
      <w:r>
        <w:rPr>
          <w:w w:val="105"/>
        </w:rPr>
        <w:t xml:space="preserve"> S, </w:t>
      </w:r>
      <w:proofErr w:type="spellStart"/>
      <w:r>
        <w:rPr>
          <w:w w:val="105"/>
        </w:rPr>
        <w:t>Caccamo</w:t>
      </w:r>
      <w:proofErr w:type="spellEnd"/>
      <w:r>
        <w:rPr>
          <w:w w:val="105"/>
        </w:rPr>
        <w:t xml:space="preserve"> A, Shepherd JD, Murphy MP, </w:t>
      </w:r>
      <w:proofErr w:type="spellStart"/>
      <w:r>
        <w:rPr>
          <w:w w:val="105"/>
        </w:rPr>
        <w:t>Golde</w:t>
      </w:r>
      <w:proofErr w:type="spellEnd"/>
      <w:r>
        <w:rPr>
          <w:w w:val="105"/>
        </w:rPr>
        <w:t xml:space="preserve"> TE, </w:t>
      </w:r>
      <w:proofErr w:type="spellStart"/>
      <w:r>
        <w:rPr>
          <w:w w:val="105"/>
        </w:rPr>
        <w:t>Kayed</w:t>
      </w:r>
      <w:proofErr w:type="spellEnd"/>
      <w:r>
        <w:rPr>
          <w:w w:val="105"/>
        </w:rPr>
        <w:t xml:space="preserve"> R, </w:t>
      </w:r>
      <w:proofErr w:type="spellStart"/>
      <w:r>
        <w:rPr>
          <w:w w:val="105"/>
        </w:rPr>
        <w:t>Metherate</w:t>
      </w:r>
      <w:proofErr w:type="spellEnd"/>
      <w:r>
        <w:rPr>
          <w:w w:val="105"/>
        </w:rPr>
        <w:t xml:space="preserve"> R, Mattson MP, Akbari Y, </w:t>
      </w:r>
      <w:proofErr w:type="spellStart"/>
      <w:r>
        <w:rPr>
          <w:w w:val="105"/>
        </w:rPr>
        <w:t>LaFerla</w:t>
      </w:r>
      <w:proofErr w:type="spellEnd"/>
      <w:r>
        <w:rPr>
          <w:w w:val="105"/>
        </w:rPr>
        <w:t xml:space="preserve"> FM. Triple-transgenic model of Alzheimer's disease with plaques and tangles: intracellular </w:t>
      </w:r>
      <w:proofErr w:type="spellStart"/>
      <w:r>
        <w:rPr>
          <w:w w:val="105"/>
        </w:rPr>
        <w:t>Abeta</w:t>
      </w:r>
      <w:proofErr w:type="spellEnd"/>
      <w:r>
        <w:rPr>
          <w:w w:val="105"/>
        </w:rPr>
        <w:t xml:space="preserve"> and synaptic dysfunction. Neuron. 2003 Jul 31;39(3):409-21.</w:t>
      </w:r>
    </w:p>
    <w:p w:rsidR="00F0434D" w:rsidRDefault="00783421">
      <w:pPr>
        <w:pStyle w:val="Corpotesto"/>
        <w:spacing w:line="252" w:lineRule="auto"/>
        <w:ind w:left="1437" w:right="713" w:hanging="720"/>
        <w:jc w:val="both"/>
      </w:pPr>
      <w:proofErr w:type="spellStart"/>
      <w:r>
        <w:rPr>
          <w:w w:val="105"/>
        </w:rPr>
        <w:t>Ottolini</w:t>
      </w:r>
      <w:proofErr w:type="spellEnd"/>
      <w:r>
        <w:rPr>
          <w:w w:val="105"/>
        </w:rPr>
        <w:t xml:space="preserve"> F. Modena M.G. t al. Prodromal symptoms in </w:t>
      </w:r>
      <w:proofErr w:type="spellStart"/>
      <w:r>
        <w:rPr>
          <w:w w:val="105"/>
        </w:rPr>
        <w:t>mycocardial</w:t>
      </w:r>
      <w:proofErr w:type="spellEnd"/>
      <w:r>
        <w:rPr>
          <w:w w:val="105"/>
        </w:rPr>
        <w:t xml:space="preserve"> infarction. </w:t>
      </w:r>
      <w:proofErr w:type="spellStart"/>
      <w:r>
        <w:rPr>
          <w:w w:val="105"/>
        </w:rPr>
        <w:t>Psychoterapy</w:t>
      </w:r>
      <w:proofErr w:type="spellEnd"/>
      <w:r>
        <w:rPr>
          <w:w w:val="105"/>
        </w:rPr>
        <w:t xml:space="preserve"> and Psychosomatics 74, 323-327.</w:t>
      </w:r>
    </w:p>
    <w:p w:rsidR="00F0434D" w:rsidRDefault="00783421">
      <w:pPr>
        <w:pStyle w:val="Corpotesto"/>
        <w:spacing w:line="252" w:lineRule="auto"/>
        <w:ind w:left="1437" w:right="709" w:hanging="720"/>
        <w:jc w:val="both"/>
      </w:pPr>
      <w:proofErr w:type="spellStart"/>
      <w:r>
        <w:rPr>
          <w:w w:val="105"/>
        </w:rPr>
        <w:t>Ownby</w:t>
      </w:r>
      <w:proofErr w:type="spellEnd"/>
      <w:r>
        <w:rPr>
          <w:w w:val="105"/>
        </w:rPr>
        <w:t xml:space="preserve">, R. L., </w:t>
      </w:r>
      <w:proofErr w:type="spellStart"/>
      <w:r>
        <w:rPr>
          <w:w w:val="105"/>
        </w:rPr>
        <w:t>Crocco</w:t>
      </w:r>
      <w:proofErr w:type="spellEnd"/>
      <w:r>
        <w:rPr>
          <w:w w:val="105"/>
        </w:rPr>
        <w:t xml:space="preserve">, E., Acevedo, A., John, V., and </w:t>
      </w:r>
      <w:proofErr w:type="spellStart"/>
      <w:r>
        <w:rPr>
          <w:w w:val="105"/>
        </w:rPr>
        <w:t>Loewenstein</w:t>
      </w:r>
      <w:proofErr w:type="spellEnd"/>
      <w:r>
        <w:rPr>
          <w:w w:val="105"/>
        </w:rPr>
        <w:t xml:space="preserve">, D. (2006). Depression and risk for Alzheimer disease: systematic review, meta-analysis, </w:t>
      </w:r>
      <w:proofErr w:type="gramStart"/>
      <w:r>
        <w:rPr>
          <w:spacing w:val="2"/>
          <w:w w:val="105"/>
        </w:rPr>
        <w:t xml:space="preserve">and  </w:t>
      </w:r>
      <w:proofErr w:type="spellStart"/>
      <w:r>
        <w:rPr>
          <w:w w:val="105"/>
        </w:rPr>
        <w:t>metaregression</w:t>
      </w:r>
      <w:proofErr w:type="spellEnd"/>
      <w:proofErr w:type="gramEnd"/>
      <w:r>
        <w:rPr>
          <w:w w:val="105"/>
        </w:rPr>
        <w:t xml:space="preserve"> analysis. Arch. Gen. Psychiatry 63, 530–538. </w:t>
      </w:r>
      <w:proofErr w:type="spellStart"/>
      <w:r>
        <w:rPr>
          <w:w w:val="105"/>
        </w:rPr>
        <w:t>doi</w:t>
      </w:r>
      <w:proofErr w:type="spellEnd"/>
      <w:r>
        <w:rPr>
          <w:w w:val="105"/>
        </w:rPr>
        <w:t>: 10.1001/ archpsyc.63.5.530.</w:t>
      </w:r>
    </w:p>
    <w:p w:rsidR="00F0434D" w:rsidRDefault="00783421">
      <w:pPr>
        <w:pStyle w:val="Corpotesto"/>
        <w:spacing w:line="249" w:lineRule="auto"/>
        <w:ind w:left="1437" w:right="712" w:hanging="720"/>
        <w:jc w:val="both"/>
      </w:pPr>
      <w:proofErr w:type="spellStart"/>
      <w:r>
        <w:rPr>
          <w:w w:val="105"/>
        </w:rPr>
        <w:t>Pizzi</w:t>
      </w:r>
      <w:proofErr w:type="spellEnd"/>
      <w:r>
        <w:rPr>
          <w:w w:val="105"/>
        </w:rPr>
        <w:t xml:space="preserve"> C et al., Analysis of potential predictors of depression among coronary heart disease risk factors including heart rate variability, markers of inflammation and endothelial function. European Heart Journal 2008; 29:1110-1117.</w:t>
      </w:r>
    </w:p>
    <w:p w:rsidR="00F0434D" w:rsidRDefault="00783421">
      <w:pPr>
        <w:pStyle w:val="Corpotesto"/>
        <w:spacing w:line="247" w:lineRule="auto"/>
        <w:ind w:left="1437" w:right="712" w:hanging="720"/>
        <w:jc w:val="both"/>
      </w:pPr>
      <w:proofErr w:type="spellStart"/>
      <w:r>
        <w:rPr>
          <w:w w:val="105"/>
        </w:rPr>
        <w:t>Pomara</w:t>
      </w:r>
      <w:proofErr w:type="spellEnd"/>
      <w:r>
        <w:rPr>
          <w:w w:val="105"/>
        </w:rPr>
        <w:t xml:space="preserve">, N., and </w:t>
      </w:r>
      <w:proofErr w:type="spellStart"/>
      <w:r>
        <w:rPr>
          <w:w w:val="105"/>
        </w:rPr>
        <w:t>Sidtis</w:t>
      </w:r>
      <w:proofErr w:type="spellEnd"/>
      <w:r>
        <w:rPr>
          <w:w w:val="105"/>
        </w:rPr>
        <w:t xml:space="preserve">, J. (2007). Possible therapeutic implication of </w:t>
      </w:r>
      <w:proofErr w:type="spellStart"/>
      <w:r>
        <w:rPr>
          <w:w w:val="105"/>
        </w:rPr>
        <w:t>Abeta</w:t>
      </w:r>
      <w:proofErr w:type="spellEnd"/>
      <w:r>
        <w:rPr>
          <w:w w:val="105"/>
        </w:rPr>
        <w:t xml:space="preserve"> disturbances in depression. Int. J. </w:t>
      </w:r>
      <w:proofErr w:type="spellStart"/>
      <w:r>
        <w:rPr>
          <w:w w:val="105"/>
        </w:rPr>
        <w:t>Geriatr</w:t>
      </w:r>
      <w:proofErr w:type="spellEnd"/>
      <w:r>
        <w:rPr>
          <w:w w:val="105"/>
        </w:rPr>
        <w:t xml:space="preserve">. Psychiatry 22, 931–932. </w:t>
      </w:r>
      <w:proofErr w:type="spellStart"/>
      <w:r>
        <w:rPr>
          <w:w w:val="105"/>
        </w:rPr>
        <w:t>doi</w:t>
      </w:r>
      <w:proofErr w:type="spellEnd"/>
      <w:r>
        <w:rPr>
          <w:w w:val="105"/>
        </w:rPr>
        <w:t>: 10.1002/ gps.1763.</w:t>
      </w:r>
    </w:p>
    <w:p w:rsidR="00F0434D" w:rsidRDefault="00783421">
      <w:pPr>
        <w:pStyle w:val="Corpotesto"/>
        <w:spacing w:before="5" w:line="252" w:lineRule="auto"/>
        <w:ind w:left="1437" w:right="708" w:hanging="720"/>
        <w:jc w:val="both"/>
      </w:pPr>
      <w:proofErr w:type="spellStart"/>
      <w:r>
        <w:rPr>
          <w:w w:val="105"/>
        </w:rPr>
        <w:t>Sepehry</w:t>
      </w:r>
      <w:proofErr w:type="spellEnd"/>
      <w:r>
        <w:rPr>
          <w:w w:val="105"/>
        </w:rPr>
        <w:t xml:space="preserve">, A. A., Lee, P. E., </w:t>
      </w:r>
      <w:proofErr w:type="spellStart"/>
      <w:r>
        <w:rPr>
          <w:w w:val="105"/>
        </w:rPr>
        <w:t>Hsiung</w:t>
      </w:r>
      <w:proofErr w:type="spellEnd"/>
      <w:r>
        <w:rPr>
          <w:w w:val="105"/>
        </w:rPr>
        <w:t xml:space="preserve">, G. Y., Beattie, B. L., and </w:t>
      </w:r>
      <w:proofErr w:type="spellStart"/>
      <w:r>
        <w:rPr>
          <w:w w:val="105"/>
        </w:rPr>
        <w:t>Jacova</w:t>
      </w:r>
      <w:proofErr w:type="spellEnd"/>
      <w:r>
        <w:rPr>
          <w:w w:val="105"/>
        </w:rPr>
        <w:t xml:space="preserve">, C. (2012). Effect of selective serotonin reuptake inhibitors in Alzheimer’s disease with comorbid depression: a meta-analysis of depression and cognitive outcomes. Drugs Aging 29, 793–806. </w:t>
      </w:r>
      <w:proofErr w:type="spellStart"/>
      <w:r>
        <w:rPr>
          <w:w w:val="105"/>
        </w:rPr>
        <w:t>doi</w:t>
      </w:r>
      <w:proofErr w:type="spellEnd"/>
      <w:r>
        <w:rPr>
          <w:w w:val="105"/>
        </w:rPr>
        <w:t>: 10.1007/s40266-012-0012-5.</w:t>
      </w:r>
    </w:p>
    <w:p w:rsidR="00F0434D" w:rsidRDefault="00783421">
      <w:pPr>
        <w:pStyle w:val="Corpotesto"/>
        <w:spacing w:line="252" w:lineRule="auto"/>
        <w:ind w:left="1437" w:right="712" w:hanging="720"/>
        <w:jc w:val="both"/>
      </w:pPr>
      <w:r>
        <w:rPr>
          <w:w w:val="105"/>
        </w:rPr>
        <w:t>Thomas A.J. et al., Increase in interleukin-1-beta in late life depression. Am J Psychiatry 2005; 162-175-7.</w:t>
      </w:r>
    </w:p>
    <w:p w:rsidR="00F0434D" w:rsidRDefault="00783421">
      <w:pPr>
        <w:pStyle w:val="Corpotesto"/>
        <w:spacing w:line="252" w:lineRule="auto"/>
        <w:ind w:left="1437" w:right="711" w:hanging="720"/>
        <w:jc w:val="both"/>
      </w:pPr>
      <w:proofErr w:type="spellStart"/>
      <w:r>
        <w:rPr>
          <w:w w:val="105"/>
        </w:rPr>
        <w:t>Trzonkovski</w:t>
      </w:r>
      <w:proofErr w:type="spellEnd"/>
      <w:r>
        <w:rPr>
          <w:w w:val="105"/>
        </w:rPr>
        <w:t xml:space="preserve"> P. et al., Immune consequences of the spontaneous pro-</w:t>
      </w:r>
      <w:proofErr w:type="spellStart"/>
      <w:r>
        <w:rPr>
          <w:w w:val="105"/>
        </w:rPr>
        <w:t>inlammatory</w:t>
      </w:r>
      <w:proofErr w:type="spellEnd"/>
      <w:r>
        <w:rPr>
          <w:w w:val="105"/>
        </w:rPr>
        <w:t xml:space="preserve"> status in depressed </w:t>
      </w:r>
      <w:proofErr w:type="spellStart"/>
      <w:r>
        <w:rPr>
          <w:w w:val="105"/>
        </w:rPr>
        <w:t>ederly</w:t>
      </w:r>
      <w:proofErr w:type="spellEnd"/>
      <w:r>
        <w:rPr>
          <w:w w:val="105"/>
        </w:rPr>
        <w:t xml:space="preserve"> patients. Brain </w:t>
      </w:r>
      <w:proofErr w:type="spellStart"/>
      <w:r>
        <w:rPr>
          <w:w w:val="105"/>
        </w:rPr>
        <w:t>Behav</w:t>
      </w:r>
      <w:proofErr w:type="spellEnd"/>
      <w:r>
        <w:rPr>
          <w:w w:val="105"/>
        </w:rPr>
        <w:t xml:space="preserve"> </w:t>
      </w:r>
      <w:proofErr w:type="spellStart"/>
      <w:r>
        <w:rPr>
          <w:w w:val="105"/>
        </w:rPr>
        <w:t>Immun</w:t>
      </w:r>
      <w:proofErr w:type="spellEnd"/>
      <w:r>
        <w:rPr>
          <w:w w:val="105"/>
        </w:rPr>
        <w:t xml:space="preserve"> 2004; 18:135-48.</w:t>
      </w:r>
    </w:p>
    <w:p w:rsidR="00F0434D" w:rsidRPr="004132B5" w:rsidRDefault="00783421">
      <w:pPr>
        <w:pStyle w:val="Corpotesto"/>
        <w:spacing w:line="247" w:lineRule="auto"/>
        <w:ind w:left="1437" w:right="712" w:hanging="720"/>
        <w:jc w:val="both"/>
        <w:rPr>
          <w:lang w:val="it-IT"/>
        </w:rPr>
      </w:pPr>
      <w:proofErr w:type="spellStart"/>
      <w:r>
        <w:rPr>
          <w:w w:val="105"/>
        </w:rPr>
        <w:t>Vaccarino</w:t>
      </w:r>
      <w:proofErr w:type="spellEnd"/>
      <w:r>
        <w:rPr>
          <w:w w:val="105"/>
        </w:rPr>
        <w:t xml:space="preserve"> V. </w:t>
      </w:r>
      <w:proofErr w:type="gramStart"/>
      <w:r>
        <w:rPr>
          <w:w w:val="105"/>
        </w:rPr>
        <w:t>et al.</w:t>
      </w:r>
      <w:proofErr w:type="gramEnd"/>
      <w:r>
        <w:rPr>
          <w:w w:val="105"/>
        </w:rPr>
        <w:t xml:space="preserve"> Depression, inflammation, and incident cardiovascular disease in women with suspected coronary ischemia. </w:t>
      </w:r>
      <w:r w:rsidRPr="004132B5">
        <w:rPr>
          <w:w w:val="105"/>
          <w:lang w:val="it-IT"/>
        </w:rPr>
        <w:t xml:space="preserve">J </w:t>
      </w:r>
      <w:proofErr w:type="spellStart"/>
      <w:r w:rsidRPr="004132B5">
        <w:rPr>
          <w:w w:val="105"/>
          <w:lang w:val="it-IT"/>
        </w:rPr>
        <w:t>Am</w:t>
      </w:r>
      <w:proofErr w:type="spellEnd"/>
      <w:r w:rsidRPr="004132B5">
        <w:rPr>
          <w:w w:val="105"/>
          <w:lang w:val="it-IT"/>
        </w:rPr>
        <w:t xml:space="preserve"> </w:t>
      </w:r>
      <w:proofErr w:type="spellStart"/>
      <w:r w:rsidRPr="004132B5">
        <w:rPr>
          <w:w w:val="105"/>
          <w:lang w:val="it-IT"/>
        </w:rPr>
        <w:t>Coll</w:t>
      </w:r>
      <w:proofErr w:type="spellEnd"/>
      <w:r w:rsidRPr="004132B5">
        <w:rPr>
          <w:w w:val="105"/>
          <w:lang w:val="it-IT"/>
        </w:rPr>
        <w:t xml:space="preserve"> </w:t>
      </w:r>
      <w:proofErr w:type="spellStart"/>
      <w:r w:rsidRPr="004132B5">
        <w:rPr>
          <w:w w:val="105"/>
          <w:lang w:val="it-IT"/>
        </w:rPr>
        <w:t>Cardiol</w:t>
      </w:r>
      <w:proofErr w:type="spellEnd"/>
      <w:r w:rsidRPr="004132B5">
        <w:rPr>
          <w:w w:val="105"/>
          <w:lang w:val="it-IT"/>
        </w:rPr>
        <w:t>. 2007; 50:2044-50.</w:t>
      </w:r>
    </w:p>
    <w:p w:rsidR="00F0434D" w:rsidRPr="004132B5" w:rsidRDefault="00F0434D">
      <w:pPr>
        <w:pStyle w:val="Corpotesto"/>
        <w:rPr>
          <w:sz w:val="24"/>
          <w:lang w:val="it-IT"/>
        </w:rPr>
      </w:pPr>
    </w:p>
    <w:p w:rsidR="00F0434D" w:rsidRPr="004132B5" w:rsidRDefault="00F0434D">
      <w:pPr>
        <w:pStyle w:val="Corpotesto"/>
        <w:rPr>
          <w:sz w:val="24"/>
          <w:lang w:val="it-IT"/>
        </w:rPr>
      </w:pPr>
    </w:p>
    <w:p w:rsidR="00F0434D" w:rsidRPr="004132B5" w:rsidRDefault="00783421">
      <w:pPr>
        <w:pStyle w:val="Titolo1"/>
        <w:spacing w:before="162"/>
        <w:rPr>
          <w:lang w:val="it-IT"/>
        </w:rPr>
      </w:pPr>
      <w:r w:rsidRPr="004132B5">
        <w:rPr>
          <w:w w:val="105"/>
          <w:lang w:val="it-IT"/>
        </w:rPr>
        <w:t>OBIETTIVI INTERMEDI E FINALI DEL PROGETTO</w:t>
      </w:r>
    </w:p>
    <w:p w:rsidR="00F0434D" w:rsidRPr="004132B5" w:rsidRDefault="00783421">
      <w:pPr>
        <w:pStyle w:val="Corpotesto"/>
        <w:spacing w:before="133" w:line="252" w:lineRule="auto"/>
        <w:ind w:left="717" w:right="710"/>
        <w:jc w:val="both"/>
        <w:rPr>
          <w:lang w:val="it-IT"/>
        </w:rPr>
      </w:pPr>
      <w:r w:rsidRPr="004132B5">
        <w:rPr>
          <w:w w:val="105"/>
          <w:lang w:val="it-IT"/>
        </w:rPr>
        <w:t>Le attività progettuali avranno una durata di 30 mesi (gennaio 2020 – giugno 2022) ed una valutazione semestrale consentirà di verificare il conseguimento dei seguenti obiettivi intermedi e finali in linea con gli scopi della ricerca.</w:t>
      </w:r>
    </w:p>
    <w:p w:rsidR="00F0434D" w:rsidRPr="004132B5" w:rsidRDefault="00F0434D">
      <w:pPr>
        <w:pStyle w:val="Corpotesto"/>
        <w:spacing w:before="11"/>
        <w:rPr>
          <w:lang w:val="it-IT"/>
        </w:rPr>
      </w:pPr>
    </w:p>
    <w:p w:rsidR="00F0434D" w:rsidRPr="004132B5" w:rsidRDefault="00783421">
      <w:pPr>
        <w:ind w:left="717"/>
        <w:rPr>
          <w:i/>
          <w:sz w:val="21"/>
          <w:lang w:val="it-IT"/>
        </w:rPr>
      </w:pPr>
      <w:r w:rsidRPr="004132B5">
        <w:rPr>
          <w:i/>
          <w:w w:val="105"/>
          <w:sz w:val="21"/>
          <w:lang w:val="it-IT"/>
        </w:rPr>
        <w:t>SCOPO 1: STUDIO PRECLINICO</w:t>
      </w:r>
    </w:p>
    <w:p w:rsidR="00F0434D" w:rsidRPr="004132B5" w:rsidRDefault="00783421">
      <w:pPr>
        <w:pStyle w:val="Corpotesto"/>
        <w:spacing w:before="13" w:line="247" w:lineRule="auto"/>
        <w:ind w:left="717" w:right="599"/>
        <w:rPr>
          <w:lang w:val="it-IT"/>
        </w:rPr>
      </w:pPr>
      <w:r w:rsidRPr="004132B5">
        <w:rPr>
          <w:w w:val="105"/>
          <w:u w:val="single"/>
          <w:lang w:val="it-IT"/>
        </w:rPr>
        <w:t>Obiettivo intermedio</w:t>
      </w:r>
      <w:r w:rsidRPr="004132B5">
        <w:rPr>
          <w:w w:val="105"/>
          <w:lang w:val="it-IT"/>
        </w:rPr>
        <w:t>: caratterizzare il fenotipo depressivo-simile nel modello transgenico di MA.</w:t>
      </w:r>
    </w:p>
    <w:p w:rsidR="00F0434D" w:rsidRPr="004132B5" w:rsidRDefault="00F0434D">
      <w:pPr>
        <w:spacing w:line="247" w:lineRule="auto"/>
        <w:rPr>
          <w:lang w:val="it-IT"/>
        </w:rPr>
        <w:sectPr w:rsidR="00F0434D" w:rsidRPr="004132B5">
          <w:pgSz w:w="11900" w:h="16840"/>
          <w:pgMar w:top="3360" w:right="700" w:bottom="1640" w:left="700" w:header="2270" w:footer="1448" w:gutter="0"/>
          <w:cols w:space="720"/>
        </w:sectPr>
      </w:pPr>
    </w:p>
    <w:p w:rsidR="00F0434D" w:rsidRPr="004132B5" w:rsidRDefault="00783421">
      <w:pPr>
        <w:pStyle w:val="Corpotesto"/>
        <w:spacing w:before="192" w:line="252" w:lineRule="auto"/>
        <w:ind w:left="717" w:right="708"/>
        <w:jc w:val="both"/>
        <w:rPr>
          <w:lang w:val="it-IT"/>
        </w:rPr>
      </w:pPr>
      <w:r w:rsidRPr="004132B5">
        <w:rPr>
          <w:w w:val="105"/>
          <w:u w:val="single"/>
          <w:lang w:val="it-IT"/>
        </w:rPr>
        <w:lastRenderedPageBreak/>
        <w:t>Obiettivo finale</w:t>
      </w:r>
      <w:r w:rsidRPr="004132B5">
        <w:rPr>
          <w:w w:val="105"/>
          <w:lang w:val="it-IT"/>
        </w:rPr>
        <w:t>: valutare la risposta al trattamento acuto con antidepressivi convenzionali nel modello transgenico di MA.</w:t>
      </w:r>
    </w:p>
    <w:p w:rsidR="00F0434D" w:rsidRPr="004132B5" w:rsidRDefault="00F0434D">
      <w:pPr>
        <w:pStyle w:val="Corpotesto"/>
        <w:spacing w:before="9"/>
        <w:rPr>
          <w:lang w:val="it-IT"/>
        </w:rPr>
      </w:pPr>
    </w:p>
    <w:p w:rsidR="00F0434D" w:rsidRPr="004132B5" w:rsidRDefault="00783421">
      <w:pPr>
        <w:ind w:left="717"/>
        <w:rPr>
          <w:i/>
          <w:sz w:val="21"/>
          <w:lang w:val="it-IT"/>
        </w:rPr>
      </w:pPr>
      <w:r w:rsidRPr="004132B5">
        <w:rPr>
          <w:i/>
          <w:w w:val="105"/>
          <w:sz w:val="21"/>
          <w:lang w:val="it-IT"/>
        </w:rPr>
        <w:t>SCOPO 2: STUDIO CLINICO</w:t>
      </w:r>
    </w:p>
    <w:p w:rsidR="00F0434D" w:rsidRPr="004132B5" w:rsidRDefault="00783421">
      <w:pPr>
        <w:pStyle w:val="Corpotesto"/>
        <w:spacing w:before="13" w:line="252" w:lineRule="auto"/>
        <w:ind w:left="717" w:right="710"/>
        <w:jc w:val="both"/>
        <w:rPr>
          <w:lang w:val="it-IT"/>
        </w:rPr>
      </w:pPr>
      <w:r w:rsidRPr="004132B5">
        <w:rPr>
          <w:w w:val="105"/>
          <w:u w:val="single"/>
          <w:lang w:val="it-IT"/>
        </w:rPr>
        <w:t>Obiettivo intermedio</w:t>
      </w:r>
      <w:r w:rsidRPr="004132B5">
        <w:rPr>
          <w:w w:val="105"/>
          <w:lang w:val="it-IT"/>
        </w:rPr>
        <w:t xml:space="preserve">: valutare se vi siano differenze nelle caratteristiche cliniche (DCPR) in pazienti affetti da depressione con alterazioni </w:t>
      </w:r>
      <w:proofErr w:type="spellStart"/>
      <w:r w:rsidRPr="004132B5">
        <w:rPr>
          <w:w w:val="105"/>
          <w:lang w:val="it-IT"/>
        </w:rPr>
        <w:t>immunoinfiammatorie</w:t>
      </w:r>
      <w:proofErr w:type="spellEnd"/>
      <w:r w:rsidRPr="004132B5">
        <w:rPr>
          <w:w w:val="105"/>
          <w:lang w:val="it-IT"/>
        </w:rPr>
        <w:t xml:space="preserve"> (elevati livelli di citochine) e pazienti affetti da depressione senza alterazioni </w:t>
      </w:r>
      <w:proofErr w:type="spellStart"/>
      <w:r w:rsidRPr="004132B5">
        <w:rPr>
          <w:w w:val="105"/>
          <w:lang w:val="it-IT"/>
        </w:rPr>
        <w:t>immunoinfiammatorie</w:t>
      </w:r>
      <w:proofErr w:type="spellEnd"/>
      <w:r w:rsidRPr="004132B5">
        <w:rPr>
          <w:w w:val="105"/>
          <w:lang w:val="it-IT"/>
        </w:rPr>
        <w:t xml:space="preserve"> (bassi livelli di citochine). Valutare l’adesione al regime </w:t>
      </w:r>
      <w:proofErr w:type="spellStart"/>
      <w:r w:rsidRPr="004132B5">
        <w:rPr>
          <w:w w:val="105"/>
          <w:lang w:val="it-IT"/>
        </w:rPr>
        <w:t>dietoterapico</w:t>
      </w:r>
      <w:proofErr w:type="spellEnd"/>
      <w:r w:rsidRPr="004132B5">
        <w:rPr>
          <w:w w:val="105"/>
          <w:lang w:val="it-IT"/>
        </w:rPr>
        <w:t xml:space="preserve"> chetogenico e l’entità di chetonemia</w:t>
      </w:r>
      <w:r w:rsidRPr="004132B5">
        <w:rPr>
          <w:spacing w:val="1"/>
          <w:w w:val="105"/>
          <w:lang w:val="it-IT"/>
        </w:rPr>
        <w:t xml:space="preserve"> </w:t>
      </w:r>
      <w:r w:rsidRPr="004132B5">
        <w:rPr>
          <w:w w:val="105"/>
          <w:lang w:val="it-IT"/>
        </w:rPr>
        <w:t>raggiunta</w:t>
      </w:r>
    </w:p>
    <w:p w:rsidR="00F0434D" w:rsidRPr="004132B5" w:rsidRDefault="00783421">
      <w:pPr>
        <w:pStyle w:val="Corpotesto"/>
        <w:spacing w:line="252" w:lineRule="auto"/>
        <w:ind w:left="717" w:right="710"/>
        <w:jc w:val="both"/>
        <w:rPr>
          <w:lang w:val="it-IT"/>
        </w:rPr>
      </w:pPr>
      <w:r w:rsidRPr="004132B5">
        <w:rPr>
          <w:w w:val="105"/>
          <w:u w:val="single"/>
          <w:lang w:val="it-IT"/>
        </w:rPr>
        <w:t>Obiettivo finale</w:t>
      </w:r>
      <w:r w:rsidRPr="004132B5">
        <w:rPr>
          <w:w w:val="105"/>
          <w:lang w:val="it-IT"/>
        </w:rPr>
        <w:t xml:space="preserve">: valutare se lo status infiammatorio (levati livelli di citochine) valutato </w:t>
      </w:r>
      <w:proofErr w:type="gramStart"/>
      <w:r w:rsidRPr="004132B5">
        <w:rPr>
          <w:w w:val="105"/>
          <w:lang w:val="it-IT"/>
        </w:rPr>
        <w:t>al baseline</w:t>
      </w:r>
      <w:proofErr w:type="gramEnd"/>
      <w:r w:rsidRPr="004132B5">
        <w:rPr>
          <w:w w:val="105"/>
          <w:lang w:val="it-IT"/>
        </w:rPr>
        <w:t xml:space="preserve"> (sia nei pazienti depressi che nei pazienti con patologie cardiache) sia predittivo di sviluppo di sintomi somatici, sintomi depressivi, diagnosi psicosomatiche e se l’andamento dei livelli infiammatori sia correlato al decorso dei sintomi depressivi e somatici e diagnosi psicosomatiche. Valutare se il regime </w:t>
      </w:r>
      <w:proofErr w:type="spellStart"/>
      <w:r w:rsidRPr="004132B5">
        <w:rPr>
          <w:w w:val="105"/>
          <w:lang w:val="it-IT"/>
        </w:rPr>
        <w:t>dietoterapico</w:t>
      </w:r>
      <w:proofErr w:type="spellEnd"/>
      <w:r w:rsidRPr="004132B5">
        <w:rPr>
          <w:w w:val="105"/>
          <w:lang w:val="it-IT"/>
        </w:rPr>
        <w:t xml:space="preserve"> chetogenico adiuvante ha esercitato nei due gruppi di pazienti, azioni positive sia sulla modulazione del mood depressivo che sullo stato infiammatorio.</w:t>
      </w:r>
    </w:p>
    <w:p w:rsidR="00F0434D" w:rsidRPr="004132B5" w:rsidRDefault="00F0434D">
      <w:pPr>
        <w:pStyle w:val="Corpotesto"/>
        <w:rPr>
          <w:sz w:val="24"/>
          <w:lang w:val="it-IT"/>
        </w:rPr>
      </w:pPr>
    </w:p>
    <w:p w:rsidR="00F0434D" w:rsidRPr="004132B5" w:rsidRDefault="00F0434D">
      <w:pPr>
        <w:pStyle w:val="Corpotesto"/>
        <w:spacing w:before="10"/>
        <w:rPr>
          <w:sz w:val="19"/>
          <w:lang w:val="it-IT"/>
        </w:rPr>
      </w:pPr>
    </w:p>
    <w:p w:rsidR="00F0434D" w:rsidRPr="004132B5" w:rsidRDefault="00783421">
      <w:pPr>
        <w:pStyle w:val="Titolo1"/>
        <w:spacing w:line="376" w:lineRule="auto"/>
        <w:ind w:right="710"/>
        <w:jc w:val="both"/>
        <w:rPr>
          <w:lang w:val="it-IT"/>
        </w:rPr>
      </w:pPr>
      <w:r w:rsidRPr="004132B5">
        <w:rPr>
          <w:w w:val="105"/>
          <w:lang w:val="it-IT"/>
        </w:rPr>
        <w:t>INDICATORI PER LA VERIFICA DEL RAGGIUNGIMENTO DEGLI OBIETTIVI INTERMEDI E FINALI</w:t>
      </w:r>
    </w:p>
    <w:p w:rsidR="00F0434D" w:rsidRPr="004132B5" w:rsidRDefault="00783421">
      <w:pPr>
        <w:pStyle w:val="Paragrafoelenco"/>
        <w:numPr>
          <w:ilvl w:val="0"/>
          <w:numId w:val="1"/>
        </w:numPr>
        <w:tabs>
          <w:tab w:val="left" w:pos="1438"/>
        </w:tabs>
        <w:spacing w:line="268" w:lineRule="auto"/>
        <w:ind w:right="709"/>
        <w:jc w:val="both"/>
        <w:rPr>
          <w:sz w:val="21"/>
          <w:lang w:val="it-IT"/>
        </w:rPr>
      </w:pPr>
      <w:r w:rsidRPr="004132B5">
        <w:rPr>
          <w:w w:val="105"/>
          <w:sz w:val="21"/>
          <w:lang w:val="it-IT"/>
        </w:rPr>
        <w:t xml:space="preserve">Pubblicazioni prodotte. Il criterio principale di verificabilità è costituito dalla presentazione dei risultati sia in Congressi Internazionali che in pubblicazioni di prestigio. Il progetto vede la partecipazione di componenti che hanno una ben nota tradizione di pubblicazione in importanti riviste scientifiche, caratterizzate da alto </w:t>
      </w:r>
      <w:r w:rsidRPr="004132B5">
        <w:rPr>
          <w:i/>
          <w:w w:val="105"/>
          <w:sz w:val="21"/>
          <w:lang w:val="it-IT"/>
        </w:rPr>
        <w:t xml:space="preserve">impact </w:t>
      </w:r>
      <w:proofErr w:type="spellStart"/>
      <w:r w:rsidRPr="004132B5">
        <w:rPr>
          <w:i/>
          <w:w w:val="105"/>
          <w:sz w:val="21"/>
          <w:lang w:val="it-IT"/>
        </w:rPr>
        <w:t>factor</w:t>
      </w:r>
      <w:proofErr w:type="spellEnd"/>
      <w:r w:rsidRPr="004132B5">
        <w:rPr>
          <w:w w:val="105"/>
          <w:sz w:val="21"/>
          <w:lang w:val="it-IT"/>
        </w:rPr>
        <w:t>. Questa caratteristica costituisce una garanzia della qualità della ricerca, dato che la pubblicazione in queste riviste avviene soltanto dopo l'approvazione di 2-3 esperti internazionali nel</w:t>
      </w:r>
      <w:r w:rsidRPr="004132B5">
        <w:rPr>
          <w:spacing w:val="-2"/>
          <w:w w:val="105"/>
          <w:sz w:val="21"/>
          <w:lang w:val="it-IT"/>
        </w:rPr>
        <w:t xml:space="preserve"> </w:t>
      </w:r>
      <w:r w:rsidRPr="004132B5">
        <w:rPr>
          <w:spacing w:val="2"/>
          <w:w w:val="105"/>
          <w:sz w:val="21"/>
          <w:lang w:val="it-IT"/>
        </w:rPr>
        <w:t>campo.</w:t>
      </w:r>
    </w:p>
    <w:p w:rsidR="00F0434D" w:rsidRPr="004132B5" w:rsidRDefault="00783421">
      <w:pPr>
        <w:pStyle w:val="Paragrafoelenco"/>
        <w:numPr>
          <w:ilvl w:val="0"/>
          <w:numId w:val="1"/>
        </w:numPr>
        <w:tabs>
          <w:tab w:val="left" w:pos="1438"/>
        </w:tabs>
        <w:spacing w:line="266" w:lineRule="auto"/>
        <w:ind w:right="710"/>
        <w:jc w:val="both"/>
        <w:rPr>
          <w:sz w:val="21"/>
          <w:lang w:val="it-IT"/>
        </w:rPr>
      </w:pPr>
      <w:r w:rsidRPr="004132B5">
        <w:rPr>
          <w:w w:val="105"/>
          <w:sz w:val="21"/>
          <w:lang w:val="it-IT"/>
        </w:rPr>
        <w:t>Avanzamento del progetto rispetto agli obiettivi fissati e ai risultati attesi per le diverse fasi. Al termine di ogni fase del programma sarà stilata una relazione periodica, da cui si evincerà la corrispondenza tra esperimenti realmente effettuati e costi realmente</w:t>
      </w:r>
      <w:r w:rsidRPr="004132B5">
        <w:rPr>
          <w:spacing w:val="1"/>
          <w:w w:val="105"/>
          <w:sz w:val="21"/>
          <w:lang w:val="it-IT"/>
        </w:rPr>
        <w:t xml:space="preserve"> </w:t>
      </w:r>
      <w:r w:rsidRPr="004132B5">
        <w:rPr>
          <w:w w:val="105"/>
          <w:sz w:val="21"/>
          <w:lang w:val="it-IT"/>
        </w:rPr>
        <w:t>sostenuti.</w:t>
      </w:r>
    </w:p>
    <w:p w:rsidR="00F0434D" w:rsidRPr="004132B5" w:rsidRDefault="00783421">
      <w:pPr>
        <w:pStyle w:val="Paragrafoelenco"/>
        <w:numPr>
          <w:ilvl w:val="0"/>
          <w:numId w:val="1"/>
        </w:numPr>
        <w:tabs>
          <w:tab w:val="left" w:pos="1438"/>
        </w:tabs>
        <w:spacing w:line="268" w:lineRule="auto"/>
        <w:ind w:right="709"/>
        <w:jc w:val="both"/>
        <w:rPr>
          <w:sz w:val="21"/>
          <w:lang w:val="it-IT"/>
        </w:rPr>
      </w:pPr>
      <w:r w:rsidRPr="004132B5">
        <w:rPr>
          <w:w w:val="105"/>
          <w:sz w:val="21"/>
          <w:lang w:val="it-IT"/>
        </w:rPr>
        <w:t>Integrazione tra i diversi componenti il gruppo di ricerca impegnate e scambio di competenze e risultati. Si prevedono degli incontri periodici per discutere dello stato di avanzamento del progetto complessivo e per rendere tutti i componenti del progetto di ricerca partecipi di eventuali problemi che ciascuna ha riscontrato nelle fasi di realizzazione del progetto</w:t>
      </w:r>
      <w:r w:rsidRPr="004132B5">
        <w:rPr>
          <w:spacing w:val="2"/>
          <w:w w:val="105"/>
          <w:sz w:val="21"/>
          <w:lang w:val="it-IT"/>
        </w:rPr>
        <w:t xml:space="preserve"> </w:t>
      </w:r>
      <w:r w:rsidRPr="004132B5">
        <w:rPr>
          <w:w w:val="105"/>
          <w:sz w:val="21"/>
          <w:lang w:val="it-IT"/>
        </w:rPr>
        <w:t>stesso.</w:t>
      </w:r>
    </w:p>
    <w:p w:rsidR="00F0434D" w:rsidRPr="004132B5" w:rsidRDefault="00783421">
      <w:pPr>
        <w:pStyle w:val="Paragrafoelenco"/>
        <w:numPr>
          <w:ilvl w:val="0"/>
          <w:numId w:val="1"/>
        </w:numPr>
        <w:tabs>
          <w:tab w:val="left" w:pos="1438"/>
        </w:tabs>
        <w:spacing w:line="266" w:lineRule="auto"/>
        <w:ind w:right="711"/>
        <w:jc w:val="both"/>
        <w:rPr>
          <w:sz w:val="21"/>
          <w:lang w:val="it-IT"/>
        </w:rPr>
      </w:pPr>
      <w:r w:rsidRPr="004132B5">
        <w:rPr>
          <w:w w:val="105"/>
          <w:sz w:val="21"/>
          <w:lang w:val="it-IT"/>
        </w:rPr>
        <w:t>Valutazione critica dei risultati ottenuti. La valutazione dovrebbe portare a risultati oggettivi e ripetibili, che possono essere citati come prova. Al fine di valutare meglio i risultati ottenuti, è</w:t>
      </w:r>
      <w:r w:rsidRPr="004132B5">
        <w:rPr>
          <w:spacing w:val="1"/>
          <w:w w:val="105"/>
          <w:sz w:val="21"/>
          <w:lang w:val="it-IT"/>
        </w:rPr>
        <w:t xml:space="preserve"> </w:t>
      </w:r>
      <w:r w:rsidRPr="004132B5">
        <w:rPr>
          <w:w w:val="105"/>
          <w:sz w:val="21"/>
          <w:lang w:val="it-IT"/>
        </w:rPr>
        <w:t>importante:</w:t>
      </w:r>
    </w:p>
    <w:p w:rsidR="00F0434D" w:rsidRPr="004132B5" w:rsidRDefault="00783421">
      <w:pPr>
        <w:pStyle w:val="Paragrafoelenco"/>
        <w:numPr>
          <w:ilvl w:val="1"/>
          <w:numId w:val="1"/>
        </w:numPr>
        <w:tabs>
          <w:tab w:val="left" w:pos="2158"/>
        </w:tabs>
        <w:spacing w:line="266" w:lineRule="auto"/>
        <w:ind w:right="712"/>
        <w:rPr>
          <w:sz w:val="21"/>
          <w:lang w:val="it-IT"/>
        </w:rPr>
      </w:pPr>
      <w:r w:rsidRPr="004132B5">
        <w:rPr>
          <w:w w:val="105"/>
          <w:sz w:val="21"/>
          <w:lang w:val="it-IT"/>
        </w:rPr>
        <w:t>descrivere in maniera dettagliata i risultati al fine di agevolare l'estrapolazione dei loro significati;</w:t>
      </w:r>
    </w:p>
    <w:p w:rsidR="00F0434D" w:rsidRPr="004132B5" w:rsidRDefault="00F0434D">
      <w:pPr>
        <w:spacing w:line="266" w:lineRule="auto"/>
        <w:rPr>
          <w:sz w:val="21"/>
          <w:lang w:val="it-IT"/>
        </w:rPr>
        <w:sectPr w:rsidR="00F0434D" w:rsidRPr="004132B5">
          <w:pgSz w:w="11900" w:h="16840"/>
          <w:pgMar w:top="3360" w:right="700" w:bottom="1640" w:left="700" w:header="2270" w:footer="1448" w:gutter="0"/>
          <w:cols w:space="720"/>
        </w:sectPr>
      </w:pPr>
    </w:p>
    <w:p w:rsidR="00F0434D" w:rsidRPr="004132B5" w:rsidRDefault="00783421">
      <w:pPr>
        <w:pStyle w:val="Paragrafoelenco"/>
        <w:numPr>
          <w:ilvl w:val="1"/>
          <w:numId w:val="1"/>
        </w:numPr>
        <w:tabs>
          <w:tab w:val="left" w:pos="2158"/>
        </w:tabs>
        <w:spacing w:before="192"/>
        <w:rPr>
          <w:sz w:val="21"/>
          <w:lang w:val="it-IT"/>
        </w:rPr>
      </w:pPr>
      <w:r w:rsidRPr="004132B5">
        <w:rPr>
          <w:w w:val="105"/>
          <w:sz w:val="21"/>
          <w:lang w:val="it-IT"/>
        </w:rPr>
        <w:lastRenderedPageBreak/>
        <w:t>verificare se i dati sostengono oppure confutano l'ipotesi originale;</w:t>
      </w:r>
    </w:p>
    <w:p w:rsidR="00F0434D" w:rsidRPr="004132B5" w:rsidRDefault="00783421">
      <w:pPr>
        <w:pStyle w:val="Paragrafoelenco"/>
        <w:numPr>
          <w:ilvl w:val="1"/>
          <w:numId w:val="1"/>
        </w:numPr>
        <w:tabs>
          <w:tab w:val="left" w:pos="2158"/>
        </w:tabs>
        <w:spacing w:before="32"/>
        <w:rPr>
          <w:sz w:val="21"/>
          <w:lang w:val="it-IT"/>
        </w:rPr>
      </w:pPr>
      <w:r w:rsidRPr="004132B5">
        <w:rPr>
          <w:w w:val="105"/>
          <w:sz w:val="21"/>
          <w:lang w:val="it-IT"/>
        </w:rPr>
        <w:t>verificare se gli esperimenti sono stati condotti con</w:t>
      </w:r>
      <w:r w:rsidRPr="004132B5">
        <w:rPr>
          <w:spacing w:val="2"/>
          <w:w w:val="105"/>
          <w:sz w:val="21"/>
          <w:lang w:val="it-IT"/>
        </w:rPr>
        <w:t xml:space="preserve"> </w:t>
      </w:r>
      <w:r w:rsidRPr="004132B5">
        <w:rPr>
          <w:w w:val="105"/>
          <w:sz w:val="21"/>
          <w:lang w:val="it-IT"/>
        </w:rPr>
        <w:t>cura;</w:t>
      </w:r>
    </w:p>
    <w:p w:rsidR="00F0434D" w:rsidRPr="004132B5" w:rsidRDefault="00783421">
      <w:pPr>
        <w:pStyle w:val="Paragrafoelenco"/>
        <w:numPr>
          <w:ilvl w:val="1"/>
          <w:numId w:val="1"/>
        </w:numPr>
        <w:tabs>
          <w:tab w:val="left" w:pos="2158"/>
        </w:tabs>
        <w:spacing w:before="27"/>
        <w:rPr>
          <w:sz w:val="21"/>
          <w:lang w:val="it-IT"/>
        </w:rPr>
      </w:pPr>
      <w:r w:rsidRPr="004132B5">
        <w:rPr>
          <w:w w:val="105"/>
          <w:sz w:val="21"/>
          <w:lang w:val="it-IT"/>
        </w:rPr>
        <w:t>verificare se le misurazioni sono state fatte con</w:t>
      </w:r>
      <w:r w:rsidRPr="004132B5">
        <w:rPr>
          <w:spacing w:val="3"/>
          <w:w w:val="105"/>
          <w:sz w:val="21"/>
          <w:lang w:val="it-IT"/>
        </w:rPr>
        <w:t xml:space="preserve"> </w:t>
      </w:r>
      <w:r w:rsidRPr="004132B5">
        <w:rPr>
          <w:w w:val="105"/>
          <w:sz w:val="21"/>
          <w:lang w:val="it-IT"/>
        </w:rPr>
        <w:t>precisione;</w:t>
      </w:r>
    </w:p>
    <w:p w:rsidR="00F0434D" w:rsidRPr="004132B5" w:rsidRDefault="00783421">
      <w:pPr>
        <w:pStyle w:val="Paragrafoelenco"/>
        <w:numPr>
          <w:ilvl w:val="1"/>
          <w:numId w:val="1"/>
        </w:numPr>
        <w:tabs>
          <w:tab w:val="left" w:pos="2158"/>
        </w:tabs>
        <w:spacing w:before="27" w:line="266" w:lineRule="auto"/>
        <w:ind w:right="712"/>
        <w:rPr>
          <w:sz w:val="21"/>
          <w:lang w:val="it-IT"/>
        </w:rPr>
      </w:pPr>
      <w:r w:rsidRPr="004132B5">
        <w:rPr>
          <w:w w:val="105"/>
          <w:sz w:val="21"/>
          <w:lang w:val="it-IT"/>
        </w:rPr>
        <w:t>verificare se eventuali problemi tecnici riscontrati durante il progetto sono stati superati.</w:t>
      </w:r>
    </w:p>
    <w:p w:rsidR="00F0434D" w:rsidRPr="004132B5" w:rsidRDefault="00F0434D">
      <w:pPr>
        <w:pStyle w:val="Corpotesto"/>
        <w:rPr>
          <w:sz w:val="24"/>
          <w:lang w:val="it-IT"/>
        </w:rPr>
      </w:pPr>
    </w:p>
    <w:p w:rsidR="00F0434D" w:rsidRPr="004132B5" w:rsidRDefault="00F0434D">
      <w:pPr>
        <w:pStyle w:val="Corpotesto"/>
        <w:rPr>
          <w:sz w:val="24"/>
          <w:lang w:val="it-IT"/>
        </w:rPr>
      </w:pPr>
    </w:p>
    <w:p w:rsidR="00F0434D" w:rsidRPr="004132B5" w:rsidRDefault="00F0434D">
      <w:pPr>
        <w:pStyle w:val="Corpotesto"/>
        <w:rPr>
          <w:sz w:val="24"/>
          <w:lang w:val="it-IT"/>
        </w:rPr>
      </w:pPr>
    </w:p>
    <w:p w:rsidR="00F0434D" w:rsidRDefault="00783421">
      <w:pPr>
        <w:pStyle w:val="Titolo1"/>
        <w:spacing w:before="201"/>
      </w:pPr>
      <w:r>
        <w:rPr>
          <w:w w:val="105"/>
        </w:rPr>
        <w:t>COMPONENTI DEL GRUPPO DI RICERCA</w:t>
      </w:r>
    </w:p>
    <w:p w:rsidR="00F0434D" w:rsidRDefault="00F0434D">
      <w:pPr>
        <w:pStyle w:val="Corpotesto"/>
        <w:rPr>
          <w:b/>
          <w:sz w:val="20"/>
        </w:rPr>
      </w:pPr>
    </w:p>
    <w:p w:rsidR="00F0434D" w:rsidRDefault="00F0434D">
      <w:pPr>
        <w:pStyle w:val="Corpotesto"/>
        <w:spacing w:before="1" w:after="1"/>
        <w:rPr>
          <w:b/>
          <w:sz w:val="24"/>
        </w:rPr>
      </w:pPr>
    </w:p>
    <w:tbl>
      <w:tblPr>
        <w:tblStyle w:val="TableNormal"/>
        <w:tblW w:w="0" w:type="auto"/>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1"/>
        <w:gridCol w:w="2410"/>
        <w:gridCol w:w="3260"/>
        <w:gridCol w:w="2799"/>
      </w:tblGrid>
      <w:tr w:rsidR="00F0434D">
        <w:trPr>
          <w:trHeight w:val="378"/>
        </w:trPr>
        <w:tc>
          <w:tcPr>
            <w:tcW w:w="821" w:type="dxa"/>
          </w:tcPr>
          <w:p w:rsidR="00F0434D" w:rsidRDefault="00F0434D">
            <w:pPr>
              <w:pStyle w:val="TableParagraph"/>
              <w:spacing w:before="0"/>
              <w:ind w:left="0"/>
              <w:rPr>
                <w:rFonts w:ascii="Times New Roman"/>
                <w:sz w:val="20"/>
              </w:rPr>
            </w:pPr>
          </w:p>
        </w:tc>
        <w:tc>
          <w:tcPr>
            <w:tcW w:w="2410" w:type="dxa"/>
          </w:tcPr>
          <w:p w:rsidR="00F0434D" w:rsidRDefault="00783421">
            <w:pPr>
              <w:pStyle w:val="TableParagraph"/>
              <w:rPr>
                <w:sz w:val="21"/>
              </w:rPr>
            </w:pPr>
            <w:r>
              <w:rPr>
                <w:w w:val="105"/>
                <w:sz w:val="21"/>
              </w:rPr>
              <w:t>Nome</w:t>
            </w:r>
          </w:p>
        </w:tc>
        <w:tc>
          <w:tcPr>
            <w:tcW w:w="3260" w:type="dxa"/>
          </w:tcPr>
          <w:p w:rsidR="00F0434D" w:rsidRDefault="00783421">
            <w:pPr>
              <w:pStyle w:val="TableParagraph"/>
              <w:rPr>
                <w:sz w:val="21"/>
              </w:rPr>
            </w:pPr>
            <w:proofErr w:type="spellStart"/>
            <w:r>
              <w:rPr>
                <w:w w:val="105"/>
                <w:sz w:val="21"/>
              </w:rPr>
              <w:t>Inquadramento</w:t>
            </w:r>
            <w:proofErr w:type="spellEnd"/>
            <w:r>
              <w:rPr>
                <w:w w:val="105"/>
                <w:sz w:val="21"/>
              </w:rPr>
              <w:t xml:space="preserve"> </w:t>
            </w:r>
            <w:proofErr w:type="spellStart"/>
            <w:r>
              <w:rPr>
                <w:w w:val="105"/>
                <w:sz w:val="21"/>
              </w:rPr>
              <w:t>universitario</w:t>
            </w:r>
            <w:proofErr w:type="spellEnd"/>
          </w:p>
        </w:tc>
        <w:tc>
          <w:tcPr>
            <w:tcW w:w="2799" w:type="dxa"/>
          </w:tcPr>
          <w:p w:rsidR="00F0434D" w:rsidRDefault="00783421">
            <w:pPr>
              <w:pStyle w:val="TableParagraph"/>
              <w:ind w:left="108"/>
              <w:rPr>
                <w:sz w:val="21"/>
              </w:rPr>
            </w:pPr>
            <w:proofErr w:type="spellStart"/>
            <w:r>
              <w:rPr>
                <w:w w:val="105"/>
                <w:sz w:val="21"/>
              </w:rPr>
              <w:t>Ruolo</w:t>
            </w:r>
            <w:proofErr w:type="spellEnd"/>
            <w:r>
              <w:rPr>
                <w:w w:val="105"/>
                <w:sz w:val="21"/>
              </w:rPr>
              <w:t>/</w:t>
            </w:r>
            <w:proofErr w:type="spellStart"/>
            <w:r>
              <w:rPr>
                <w:w w:val="105"/>
                <w:sz w:val="21"/>
              </w:rPr>
              <w:t>attività</w:t>
            </w:r>
            <w:proofErr w:type="spellEnd"/>
            <w:r>
              <w:rPr>
                <w:w w:val="105"/>
                <w:sz w:val="21"/>
              </w:rPr>
              <w:t xml:space="preserve"> </w:t>
            </w:r>
            <w:proofErr w:type="spellStart"/>
            <w:r>
              <w:rPr>
                <w:w w:val="105"/>
                <w:sz w:val="21"/>
              </w:rPr>
              <w:t>progettuale</w:t>
            </w:r>
            <w:proofErr w:type="spellEnd"/>
          </w:p>
        </w:tc>
      </w:tr>
      <w:tr w:rsidR="00F0434D">
        <w:trPr>
          <w:trHeight w:val="378"/>
        </w:trPr>
        <w:tc>
          <w:tcPr>
            <w:tcW w:w="821" w:type="dxa"/>
          </w:tcPr>
          <w:p w:rsidR="00F0434D" w:rsidRDefault="00783421">
            <w:pPr>
              <w:pStyle w:val="TableParagraph"/>
              <w:ind w:left="110"/>
              <w:rPr>
                <w:sz w:val="21"/>
              </w:rPr>
            </w:pPr>
            <w:r>
              <w:rPr>
                <w:w w:val="102"/>
                <w:sz w:val="21"/>
              </w:rPr>
              <w:t>1</w:t>
            </w:r>
          </w:p>
        </w:tc>
        <w:tc>
          <w:tcPr>
            <w:tcW w:w="2410" w:type="dxa"/>
          </w:tcPr>
          <w:p w:rsidR="00F0434D" w:rsidRDefault="00783421">
            <w:pPr>
              <w:pStyle w:val="TableParagraph"/>
              <w:rPr>
                <w:sz w:val="21"/>
              </w:rPr>
            </w:pPr>
            <w:r>
              <w:rPr>
                <w:w w:val="105"/>
                <w:sz w:val="21"/>
              </w:rPr>
              <w:t>Maurizio Margaglione</w:t>
            </w:r>
          </w:p>
        </w:tc>
        <w:tc>
          <w:tcPr>
            <w:tcW w:w="3260" w:type="dxa"/>
          </w:tcPr>
          <w:p w:rsidR="00F0434D" w:rsidRDefault="00783421">
            <w:pPr>
              <w:pStyle w:val="TableParagraph"/>
              <w:rPr>
                <w:sz w:val="21"/>
              </w:rPr>
            </w:pPr>
            <w:proofErr w:type="spellStart"/>
            <w:r>
              <w:rPr>
                <w:w w:val="105"/>
                <w:sz w:val="21"/>
              </w:rPr>
              <w:t>Professore</w:t>
            </w:r>
            <w:proofErr w:type="spellEnd"/>
            <w:r>
              <w:rPr>
                <w:w w:val="105"/>
                <w:sz w:val="21"/>
              </w:rPr>
              <w:t xml:space="preserve"> </w:t>
            </w:r>
            <w:proofErr w:type="spellStart"/>
            <w:r>
              <w:rPr>
                <w:w w:val="105"/>
                <w:sz w:val="21"/>
              </w:rPr>
              <w:t>ordinario</w:t>
            </w:r>
            <w:proofErr w:type="spellEnd"/>
          </w:p>
        </w:tc>
        <w:tc>
          <w:tcPr>
            <w:tcW w:w="2799" w:type="dxa"/>
          </w:tcPr>
          <w:p w:rsidR="00F0434D" w:rsidRDefault="00783421">
            <w:pPr>
              <w:pStyle w:val="TableParagraph"/>
              <w:ind w:left="108"/>
              <w:rPr>
                <w:sz w:val="21"/>
              </w:rPr>
            </w:pPr>
            <w:proofErr w:type="spellStart"/>
            <w:r>
              <w:rPr>
                <w:w w:val="105"/>
                <w:sz w:val="21"/>
              </w:rPr>
              <w:t>Componente</w:t>
            </w:r>
            <w:proofErr w:type="spellEnd"/>
          </w:p>
        </w:tc>
      </w:tr>
      <w:tr w:rsidR="00F0434D">
        <w:trPr>
          <w:trHeight w:val="378"/>
        </w:trPr>
        <w:tc>
          <w:tcPr>
            <w:tcW w:w="821" w:type="dxa"/>
          </w:tcPr>
          <w:p w:rsidR="00F0434D" w:rsidRDefault="00783421">
            <w:pPr>
              <w:pStyle w:val="TableParagraph"/>
              <w:ind w:left="110"/>
              <w:rPr>
                <w:b/>
                <w:sz w:val="21"/>
              </w:rPr>
            </w:pPr>
            <w:r>
              <w:rPr>
                <w:b/>
                <w:w w:val="102"/>
                <w:sz w:val="21"/>
              </w:rPr>
              <w:t>2</w:t>
            </w:r>
          </w:p>
        </w:tc>
        <w:tc>
          <w:tcPr>
            <w:tcW w:w="2410" w:type="dxa"/>
          </w:tcPr>
          <w:p w:rsidR="00F0434D" w:rsidRDefault="00783421">
            <w:pPr>
              <w:pStyle w:val="TableParagraph"/>
              <w:rPr>
                <w:b/>
                <w:sz w:val="21"/>
              </w:rPr>
            </w:pPr>
            <w:proofErr w:type="spellStart"/>
            <w:r>
              <w:rPr>
                <w:b/>
                <w:w w:val="105"/>
                <w:sz w:val="21"/>
              </w:rPr>
              <w:t>Tommaso</w:t>
            </w:r>
            <w:proofErr w:type="spellEnd"/>
            <w:r>
              <w:rPr>
                <w:b/>
                <w:w w:val="105"/>
                <w:sz w:val="21"/>
              </w:rPr>
              <w:t xml:space="preserve"> </w:t>
            </w:r>
            <w:proofErr w:type="spellStart"/>
            <w:r>
              <w:rPr>
                <w:b/>
                <w:w w:val="105"/>
                <w:sz w:val="21"/>
              </w:rPr>
              <w:t>Cassano</w:t>
            </w:r>
            <w:proofErr w:type="spellEnd"/>
          </w:p>
        </w:tc>
        <w:tc>
          <w:tcPr>
            <w:tcW w:w="3260" w:type="dxa"/>
          </w:tcPr>
          <w:p w:rsidR="00F0434D" w:rsidRDefault="00783421">
            <w:pPr>
              <w:pStyle w:val="TableParagraph"/>
              <w:rPr>
                <w:b/>
                <w:sz w:val="21"/>
              </w:rPr>
            </w:pPr>
            <w:proofErr w:type="spellStart"/>
            <w:r>
              <w:rPr>
                <w:b/>
                <w:w w:val="105"/>
                <w:sz w:val="21"/>
              </w:rPr>
              <w:t>Professore</w:t>
            </w:r>
            <w:proofErr w:type="spellEnd"/>
            <w:r>
              <w:rPr>
                <w:b/>
                <w:w w:val="105"/>
                <w:sz w:val="21"/>
              </w:rPr>
              <w:t xml:space="preserve"> </w:t>
            </w:r>
            <w:proofErr w:type="spellStart"/>
            <w:r>
              <w:rPr>
                <w:b/>
                <w:w w:val="105"/>
                <w:sz w:val="21"/>
              </w:rPr>
              <w:t>associato</w:t>
            </w:r>
            <w:proofErr w:type="spellEnd"/>
          </w:p>
        </w:tc>
        <w:tc>
          <w:tcPr>
            <w:tcW w:w="2799" w:type="dxa"/>
          </w:tcPr>
          <w:p w:rsidR="00F0434D" w:rsidRDefault="00783421">
            <w:pPr>
              <w:pStyle w:val="TableParagraph"/>
              <w:ind w:left="108"/>
              <w:rPr>
                <w:b/>
                <w:sz w:val="21"/>
              </w:rPr>
            </w:pPr>
            <w:proofErr w:type="spellStart"/>
            <w:r>
              <w:rPr>
                <w:b/>
                <w:w w:val="105"/>
                <w:sz w:val="21"/>
              </w:rPr>
              <w:t>Proponente</w:t>
            </w:r>
            <w:proofErr w:type="spellEnd"/>
          </w:p>
        </w:tc>
      </w:tr>
      <w:tr w:rsidR="00F0434D">
        <w:trPr>
          <w:trHeight w:val="378"/>
        </w:trPr>
        <w:tc>
          <w:tcPr>
            <w:tcW w:w="821" w:type="dxa"/>
          </w:tcPr>
          <w:p w:rsidR="00F0434D" w:rsidRDefault="00783421">
            <w:pPr>
              <w:pStyle w:val="TableParagraph"/>
              <w:ind w:left="110"/>
              <w:rPr>
                <w:sz w:val="21"/>
              </w:rPr>
            </w:pPr>
            <w:r>
              <w:rPr>
                <w:w w:val="102"/>
                <w:sz w:val="21"/>
              </w:rPr>
              <w:t>3</w:t>
            </w:r>
          </w:p>
        </w:tc>
        <w:tc>
          <w:tcPr>
            <w:tcW w:w="2410" w:type="dxa"/>
          </w:tcPr>
          <w:p w:rsidR="00F0434D" w:rsidRDefault="00783421">
            <w:pPr>
              <w:pStyle w:val="TableParagraph"/>
              <w:rPr>
                <w:sz w:val="21"/>
              </w:rPr>
            </w:pPr>
            <w:r>
              <w:rPr>
                <w:w w:val="105"/>
                <w:sz w:val="21"/>
              </w:rPr>
              <w:t xml:space="preserve">Maria </w:t>
            </w:r>
            <w:proofErr w:type="spellStart"/>
            <w:r>
              <w:rPr>
                <w:w w:val="105"/>
                <w:sz w:val="21"/>
              </w:rPr>
              <w:t>Grazia</w:t>
            </w:r>
            <w:proofErr w:type="spellEnd"/>
            <w:r>
              <w:rPr>
                <w:w w:val="105"/>
                <w:sz w:val="21"/>
              </w:rPr>
              <w:t xml:space="preserve"> Albano</w:t>
            </w:r>
          </w:p>
        </w:tc>
        <w:tc>
          <w:tcPr>
            <w:tcW w:w="3260" w:type="dxa"/>
          </w:tcPr>
          <w:p w:rsidR="00F0434D" w:rsidRDefault="00783421">
            <w:pPr>
              <w:pStyle w:val="TableParagraph"/>
              <w:rPr>
                <w:sz w:val="21"/>
              </w:rPr>
            </w:pPr>
            <w:proofErr w:type="spellStart"/>
            <w:r>
              <w:rPr>
                <w:w w:val="105"/>
                <w:sz w:val="21"/>
              </w:rPr>
              <w:t>Professore</w:t>
            </w:r>
            <w:proofErr w:type="spellEnd"/>
            <w:r>
              <w:rPr>
                <w:w w:val="105"/>
                <w:sz w:val="21"/>
              </w:rPr>
              <w:t xml:space="preserve"> </w:t>
            </w:r>
            <w:proofErr w:type="spellStart"/>
            <w:r>
              <w:rPr>
                <w:w w:val="105"/>
                <w:sz w:val="21"/>
              </w:rPr>
              <w:t>associato</w:t>
            </w:r>
            <w:proofErr w:type="spellEnd"/>
          </w:p>
        </w:tc>
        <w:tc>
          <w:tcPr>
            <w:tcW w:w="2799" w:type="dxa"/>
          </w:tcPr>
          <w:p w:rsidR="00F0434D" w:rsidRDefault="00783421">
            <w:pPr>
              <w:pStyle w:val="TableParagraph"/>
              <w:ind w:left="108"/>
              <w:rPr>
                <w:sz w:val="21"/>
              </w:rPr>
            </w:pPr>
            <w:proofErr w:type="spellStart"/>
            <w:r>
              <w:rPr>
                <w:w w:val="105"/>
                <w:sz w:val="21"/>
              </w:rPr>
              <w:t>Componente</w:t>
            </w:r>
            <w:proofErr w:type="spellEnd"/>
          </w:p>
        </w:tc>
      </w:tr>
      <w:tr w:rsidR="00F0434D">
        <w:trPr>
          <w:trHeight w:val="383"/>
        </w:trPr>
        <w:tc>
          <w:tcPr>
            <w:tcW w:w="821" w:type="dxa"/>
          </w:tcPr>
          <w:p w:rsidR="00F0434D" w:rsidRDefault="00783421">
            <w:pPr>
              <w:pStyle w:val="TableParagraph"/>
              <w:spacing w:before="14"/>
              <w:ind w:left="110"/>
              <w:rPr>
                <w:sz w:val="21"/>
              </w:rPr>
            </w:pPr>
            <w:r>
              <w:rPr>
                <w:w w:val="102"/>
                <w:sz w:val="21"/>
              </w:rPr>
              <w:t>4</w:t>
            </w:r>
          </w:p>
        </w:tc>
        <w:tc>
          <w:tcPr>
            <w:tcW w:w="2410" w:type="dxa"/>
          </w:tcPr>
          <w:p w:rsidR="00F0434D" w:rsidRDefault="00783421">
            <w:pPr>
              <w:pStyle w:val="TableParagraph"/>
              <w:spacing w:before="14"/>
              <w:rPr>
                <w:sz w:val="21"/>
              </w:rPr>
            </w:pPr>
            <w:r>
              <w:rPr>
                <w:w w:val="105"/>
                <w:sz w:val="21"/>
              </w:rPr>
              <w:t xml:space="preserve">Rosa </w:t>
            </w:r>
            <w:proofErr w:type="spellStart"/>
            <w:r>
              <w:rPr>
                <w:w w:val="105"/>
                <w:sz w:val="21"/>
              </w:rPr>
              <w:t>Santacroce</w:t>
            </w:r>
            <w:proofErr w:type="spellEnd"/>
          </w:p>
        </w:tc>
        <w:tc>
          <w:tcPr>
            <w:tcW w:w="3260" w:type="dxa"/>
          </w:tcPr>
          <w:p w:rsidR="00F0434D" w:rsidRDefault="00783421">
            <w:pPr>
              <w:pStyle w:val="TableParagraph"/>
              <w:spacing w:before="14"/>
              <w:rPr>
                <w:sz w:val="21"/>
              </w:rPr>
            </w:pPr>
            <w:proofErr w:type="spellStart"/>
            <w:r>
              <w:rPr>
                <w:w w:val="105"/>
                <w:sz w:val="21"/>
              </w:rPr>
              <w:t>Ricercatore</w:t>
            </w:r>
            <w:proofErr w:type="spellEnd"/>
          </w:p>
        </w:tc>
        <w:tc>
          <w:tcPr>
            <w:tcW w:w="2799" w:type="dxa"/>
          </w:tcPr>
          <w:p w:rsidR="00F0434D" w:rsidRDefault="00783421">
            <w:pPr>
              <w:pStyle w:val="TableParagraph"/>
              <w:spacing w:before="14"/>
              <w:ind w:left="108"/>
              <w:rPr>
                <w:sz w:val="21"/>
              </w:rPr>
            </w:pPr>
            <w:proofErr w:type="spellStart"/>
            <w:r>
              <w:rPr>
                <w:w w:val="105"/>
                <w:sz w:val="21"/>
              </w:rPr>
              <w:t>Componente</w:t>
            </w:r>
            <w:proofErr w:type="spellEnd"/>
          </w:p>
        </w:tc>
      </w:tr>
      <w:tr w:rsidR="00F0434D">
        <w:trPr>
          <w:trHeight w:val="378"/>
        </w:trPr>
        <w:tc>
          <w:tcPr>
            <w:tcW w:w="821" w:type="dxa"/>
          </w:tcPr>
          <w:p w:rsidR="00F0434D" w:rsidRDefault="00783421">
            <w:pPr>
              <w:pStyle w:val="TableParagraph"/>
              <w:ind w:left="110"/>
              <w:rPr>
                <w:sz w:val="21"/>
              </w:rPr>
            </w:pPr>
            <w:r>
              <w:rPr>
                <w:w w:val="102"/>
                <w:sz w:val="21"/>
              </w:rPr>
              <w:t>5</w:t>
            </w:r>
          </w:p>
        </w:tc>
        <w:tc>
          <w:tcPr>
            <w:tcW w:w="2410" w:type="dxa"/>
          </w:tcPr>
          <w:p w:rsidR="00F0434D" w:rsidRDefault="00783421">
            <w:pPr>
              <w:pStyle w:val="TableParagraph"/>
              <w:rPr>
                <w:sz w:val="21"/>
              </w:rPr>
            </w:pPr>
            <w:r>
              <w:rPr>
                <w:w w:val="105"/>
                <w:sz w:val="21"/>
              </w:rPr>
              <w:t xml:space="preserve">Giovanna </w:t>
            </w:r>
            <w:proofErr w:type="spellStart"/>
            <w:r>
              <w:rPr>
                <w:w w:val="105"/>
                <w:sz w:val="21"/>
              </w:rPr>
              <w:t>D’Andrea</w:t>
            </w:r>
            <w:proofErr w:type="spellEnd"/>
          </w:p>
        </w:tc>
        <w:tc>
          <w:tcPr>
            <w:tcW w:w="3260" w:type="dxa"/>
          </w:tcPr>
          <w:p w:rsidR="00F0434D" w:rsidRDefault="00783421">
            <w:pPr>
              <w:pStyle w:val="TableParagraph"/>
              <w:rPr>
                <w:sz w:val="21"/>
              </w:rPr>
            </w:pPr>
            <w:proofErr w:type="spellStart"/>
            <w:r>
              <w:rPr>
                <w:w w:val="105"/>
                <w:sz w:val="21"/>
              </w:rPr>
              <w:t>Ricercatore</w:t>
            </w:r>
            <w:proofErr w:type="spellEnd"/>
          </w:p>
        </w:tc>
        <w:tc>
          <w:tcPr>
            <w:tcW w:w="2799" w:type="dxa"/>
          </w:tcPr>
          <w:p w:rsidR="00F0434D" w:rsidRDefault="00783421">
            <w:pPr>
              <w:pStyle w:val="TableParagraph"/>
              <w:ind w:left="108"/>
              <w:rPr>
                <w:sz w:val="21"/>
              </w:rPr>
            </w:pPr>
            <w:proofErr w:type="spellStart"/>
            <w:r>
              <w:rPr>
                <w:w w:val="105"/>
                <w:sz w:val="21"/>
              </w:rPr>
              <w:t>Componente</w:t>
            </w:r>
            <w:proofErr w:type="spellEnd"/>
          </w:p>
        </w:tc>
      </w:tr>
      <w:tr w:rsidR="00F0434D">
        <w:trPr>
          <w:trHeight w:val="378"/>
        </w:trPr>
        <w:tc>
          <w:tcPr>
            <w:tcW w:w="821" w:type="dxa"/>
          </w:tcPr>
          <w:p w:rsidR="00F0434D" w:rsidRDefault="00783421">
            <w:pPr>
              <w:pStyle w:val="TableParagraph"/>
              <w:ind w:left="110"/>
              <w:rPr>
                <w:sz w:val="21"/>
              </w:rPr>
            </w:pPr>
            <w:r>
              <w:rPr>
                <w:w w:val="102"/>
                <w:sz w:val="21"/>
              </w:rPr>
              <w:t>6</w:t>
            </w:r>
          </w:p>
        </w:tc>
        <w:tc>
          <w:tcPr>
            <w:tcW w:w="2410" w:type="dxa"/>
          </w:tcPr>
          <w:p w:rsidR="00F0434D" w:rsidRDefault="00783421">
            <w:pPr>
              <w:pStyle w:val="TableParagraph"/>
              <w:rPr>
                <w:sz w:val="21"/>
              </w:rPr>
            </w:pPr>
            <w:r>
              <w:rPr>
                <w:w w:val="105"/>
                <w:sz w:val="21"/>
              </w:rPr>
              <w:t xml:space="preserve">Daniela </w:t>
            </w:r>
            <w:proofErr w:type="spellStart"/>
            <w:r>
              <w:rPr>
                <w:w w:val="105"/>
                <w:sz w:val="21"/>
              </w:rPr>
              <w:t>Fiocco</w:t>
            </w:r>
            <w:proofErr w:type="spellEnd"/>
          </w:p>
        </w:tc>
        <w:tc>
          <w:tcPr>
            <w:tcW w:w="3260" w:type="dxa"/>
          </w:tcPr>
          <w:p w:rsidR="00F0434D" w:rsidRDefault="00783421">
            <w:pPr>
              <w:pStyle w:val="TableParagraph"/>
              <w:rPr>
                <w:sz w:val="21"/>
              </w:rPr>
            </w:pPr>
            <w:proofErr w:type="spellStart"/>
            <w:r>
              <w:rPr>
                <w:w w:val="105"/>
                <w:sz w:val="21"/>
              </w:rPr>
              <w:t>Ricercatore</w:t>
            </w:r>
            <w:proofErr w:type="spellEnd"/>
          </w:p>
        </w:tc>
        <w:tc>
          <w:tcPr>
            <w:tcW w:w="2799" w:type="dxa"/>
          </w:tcPr>
          <w:p w:rsidR="00F0434D" w:rsidRDefault="00783421">
            <w:pPr>
              <w:pStyle w:val="TableParagraph"/>
              <w:ind w:left="108"/>
              <w:rPr>
                <w:sz w:val="21"/>
              </w:rPr>
            </w:pPr>
            <w:proofErr w:type="spellStart"/>
            <w:r>
              <w:rPr>
                <w:w w:val="105"/>
                <w:sz w:val="21"/>
              </w:rPr>
              <w:t>Componente</w:t>
            </w:r>
            <w:proofErr w:type="spellEnd"/>
          </w:p>
        </w:tc>
      </w:tr>
      <w:tr w:rsidR="00F0434D">
        <w:trPr>
          <w:trHeight w:val="378"/>
        </w:trPr>
        <w:tc>
          <w:tcPr>
            <w:tcW w:w="821" w:type="dxa"/>
          </w:tcPr>
          <w:p w:rsidR="00F0434D" w:rsidRDefault="00783421">
            <w:pPr>
              <w:pStyle w:val="TableParagraph"/>
              <w:ind w:left="110"/>
              <w:rPr>
                <w:sz w:val="21"/>
              </w:rPr>
            </w:pPr>
            <w:r>
              <w:rPr>
                <w:w w:val="102"/>
                <w:sz w:val="21"/>
              </w:rPr>
              <w:t>7</w:t>
            </w:r>
          </w:p>
        </w:tc>
        <w:tc>
          <w:tcPr>
            <w:tcW w:w="2410" w:type="dxa"/>
          </w:tcPr>
          <w:p w:rsidR="00F0434D" w:rsidRDefault="00783421">
            <w:pPr>
              <w:pStyle w:val="TableParagraph"/>
              <w:rPr>
                <w:sz w:val="21"/>
              </w:rPr>
            </w:pPr>
            <w:r>
              <w:rPr>
                <w:w w:val="105"/>
                <w:sz w:val="21"/>
              </w:rPr>
              <w:t>Mario Altamura</w:t>
            </w:r>
          </w:p>
        </w:tc>
        <w:tc>
          <w:tcPr>
            <w:tcW w:w="3260" w:type="dxa"/>
          </w:tcPr>
          <w:p w:rsidR="00F0434D" w:rsidRDefault="00783421">
            <w:pPr>
              <w:pStyle w:val="TableParagraph"/>
              <w:rPr>
                <w:sz w:val="21"/>
              </w:rPr>
            </w:pPr>
            <w:proofErr w:type="spellStart"/>
            <w:r>
              <w:rPr>
                <w:w w:val="105"/>
                <w:sz w:val="21"/>
              </w:rPr>
              <w:t>Ricercatore</w:t>
            </w:r>
            <w:proofErr w:type="spellEnd"/>
          </w:p>
        </w:tc>
        <w:tc>
          <w:tcPr>
            <w:tcW w:w="2799" w:type="dxa"/>
          </w:tcPr>
          <w:p w:rsidR="00F0434D" w:rsidRDefault="00783421">
            <w:pPr>
              <w:pStyle w:val="TableParagraph"/>
              <w:ind w:left="108"/>
              <w:rPr>
                <w:sz w:val="21"/>
              </w:rPr>
            </w:pPr>
            <w:proofErr w:type="spellStart"/>
            <w:r>
              <w:rPr>
                <w:w w:val="105"/>
                <w:sz w:val="21"/>
              </w:rPr>
              <w:t>Componente</w:t>
            </w:r>
            <w:proofErr w:type="spellEnd"/>
          </w:p>
        </w:tc>
      </w:tr>
      <w:tr w:rsidR="00F0434D">
        <w:trPr>
          <w:trHeight w:val="378"/>
        </w:trPr>
        <w:tc>
          <w:tcPr>
            <w:tcW w:w="821" w:type="dxa"/>
          </w:tcPr>
          <w:p w:rsidR="00F0434D" w:rsidRDefault="00783421">
            <w:pPr>
              <w:pStyle w:val="TableParagraph"/>
              <w:ind w:left="110"/>
              <w:rPr>
                <w:sz w:val="21"/>
              </w:rPr>
            </w:pPr>
            <w:r>
              <w:rPr>
                <w:w w:val="102"/>
                <w:sz w:val="21"/>
              </w:rPr>
              <w:t>8</w:t>
            </w:r>
          </w:p>
        </w:tc>
        <w:tc>
          <w:tcPr>
            <w:tcW w:w="2410" w:type="dxa"/>
          </w:tcPr>
          <w:p w:rsidR="00F0434D" w:rsidRDefault="00783421">
            <w:pPr>
              <w:pStyle w:val="TableParagraph"/>
              <w:rPr>
                <w:sz w:val="21"/>
              </w:rPr>
            </w:pPr>
            <w:r>
              <w:rPr>
                <w:w w:val="105"/>
                <w:sz w:val="21"/>
              </w:rPr>
              <w:t xml:space="preserve">Ivan </w:t>
            </w:r>
            <w:proofErr w:type="spellStart"/>
            <w:r>
              <w:rPr>
                <w:w w:val="105"/>
                <w:sz w:val="21"/>
              </w:rPr>
              <w:t>Cincione</w:t>
            </w:r>
            <w:proofErr w:type="spellEnd"/>
          </w:p>
        </w:tc>
        <w:tc>
          <w:tcPr>
            <w:tcW w:w="3260" w:type="dxa"/>
          </w:tcPr>
          <w:p w:rsidR="00F0434D" w:rsidRDefault="00783421">
            <w:pPr>
              <w:pStyle w:val="TableParagraph"/>
              <w:rPr>
                <w:sz w:val="21"/>
              </w:rPr>
            </w:pPr>
            <w:proofErr w:type="spellStart"/>
            <w:r>
              <w:rPr>
                <w:w w:val="105"/>
                <w:sz w:val="21"/>
              </w:rPr>
              <w:t>Ricercatore</w:t>
            </w:r>
            <w:proofErr w:type="spellEnd"/>
          </w:p>
        </w:tc>
        <w:tc>
          <w:tcPr>
            <w:tcW w:w="2799" w:type="dxa"/>
          </w:tcPr>
          <w:p w:rsidR="00F0434D" w:rsidRDefault="00783421">
            <w:pPr>
              <w:pStyle w:val="TableParagraph"/>
              <w:ind w:left="108"/>
              <w:rPr>
                <w:sz w:val="21"/>
              </w:rPr>
            </w:pPr>
            <w:proofErr w:type="spellStart"/>
            <w:r>
              <w:rPr>
                <w:w w:val="105"/>
                <w:sz w:val="21"/>
              </w:rPr>
              <w:t>Componente</w:t>
            </w:r>
            <w:proofErr w:type="spellEnd"/>
          </w:p>
        </w:tc>
      </w:tr>
    </w:tbl>
    <w:p w:rsidR="00F0434D" w:rsidRDefault="00F0434D" w:rsidP="00787046">
      <w:pPr>
        <w:pStyle w:val="Corpotesto"/>
        <w:spacing w:before="2"/>
        <w:rPr>
          <w:i/>
          <w:sz w:val="20"/>
        </w:rPr>
      </w:pPr>
    </w:p>
    <w:sectPr w:rsidR="00F0434D">
      <w:pgSz w:w="11900" w:h="16840"/>
      <w:pgMar w:top="3360" w:right="700" w:bottom="1640" w:left="700" w:header="2270" w:footer="144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0F2" w:rsidRDefault="005460F2">
      <w:r>
        <w:separator/>
      </w:r>
    </w:p>
  </w:endnote>
  <w:endnote w:type="continuationSeparator" w:id="0">
    <w:p w:rsidR="005460F2" w:rsidRDefault="00546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0F2" w:rsidRDefault="005460F2">
      <w:r>
        <w:separator/>
      </w:r>
    </w:p>
  </w:footnote>
  <w:footnote w:type="continuationSeparator" w:id="0">
    <w:p w:rsidR="005460F2" w:rsidRDefault="005460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34D" w:rsidRDefault="00F0434D">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94ABA"/>
    <w:multiLevelType w:val="hybridMultilevel"/>
    <w:tmpl w:val="F628FFF6"/>
    <w:lvl w:ilvl="0" w:tplc="11FC5E56">
      <w:start w:val="1"/>
      <w:numFmt w:val="decimal"/>
      <w:lvlText w:val="%1)"/>
      <w:lvlJc w:val="left"/>
      <w:pPr>
        <w:ind w:left="1437" w:hanging="360"/>
        <w:jc w:val="left"/>
      </w:pPr>
      <w:rPr>
        <w:rFonts w:ascii="Arial" w:eastAsia="Arial" w:hAnsi="Arial" w:cs="Arial" w:hint="default"/>
        <w:spacing w:val="0"/>
        <w:w w:val="102"/>
        <w:sz w:val="21"/>
        <w:szCs w:val="21"/>
      </w:rPr>
    </w:lvl>
    <w:lvl w:ilvl="1" w:tplc="A32A1628">
      <w:numFmt w:val="bullet"/>
      <w:lvlText w:val="•"/>
      <w:lvlJc w:val="left"/>
      <w:pPr>
        <w:ind w:left="1440" w:hanging="360"/>
      </w:pPr>
      <w:rPr>
        <w:rFonts w:hint="default"/>
      </w:rPr>
    </w:lvl>
    <w:lvl w:ilvl="2" w:tplc="72BC3594">
      <w:numFmt w:val="bullet"/>
      <w:lvlText w:val="•"/>
      <w:lvlJc w:val="left"/>
      <w:pPr>
        <w:ind w:left="2446" w:hanging="360"/>
      </w:pPr>
      <w:rPr>
        <w:rFonts w:hint="default"/>
      </w:rPr>
    </w:lvl>
    <w:lvl w:ilvl="3" w:tplc="D15EC252">
      <w:numFmt w:val="bullet"/>
      <w:lvlText w:val="•"/>
      <w:lvlJc w:val="left"/>
      <w:pPr>
        <w:ind w:left="3453" w:hanging="360"/>
      </w:pPr>
      <w:rPr>
        <w:rFonts w:hint="default"/>
      </w:rPr>
    </w:lvl>
    <w:lvl w:ilvl="4" w:tplc="50F67544">
      <w:numFmt w:val="bullet"/>
      <w:lvlText w:val="•"/>
      <w:lvlJc w:val="left"/>
      <w:pPr>
        <w:ind w:left="4460" w:hanging="360"/>
      </w:pPr>
      <w:rPr>
        <w:rFonts w:hint="default"/>
      </w:rPr>
    </w:lvl>
    <w:lvl w:ilvl="5" w:tplc="4252D28A">
      <w:numFmt w:val="bullet"/>
      <w:lvlText w:val="•"/>
      <w:lvlJc w:val="left"/>
      <w:pPr>
        <w:ind w:left="5466" w:hanging="360"/>
      </w:pPr>
      <w:rPr>
        <w:rFonts w:hint="default"/>
      </w:rPr>
    </w:lvl>
    <w:lvl w:ilvl="6" w:tplc="A9E2E962">
      <w:numFmt w:val="bullet"/>
      <w:lvlText w:val="•"/>
      <w:lvlJc w:val="left"/>
      <w:pPr>
        <w:ind w:left="6473" w:hanging="360"/>
      </w:pPr>
      <w:rPr>
        <w:rFonts w:hint="default"/>
      </w:rPr>
    </w:lvl>
    <w:lvl w:ilvl="7" w:tplc="1B6A3772">
      <w:numFmt w:val="bullet"/>
      <w:lvlText w:val="•"/>
      <w:lvlJc w:val="left"/>
      <w:pPr>
        <w:ind w:left="7480" w:hanging="360"/>
      </w:pPr>
      <w:rPr>
        <w:rFonts w:hint="default"/>
      </w:rPr>
    </w:lvl>
    <w:lvl w:ilvl="8" w:tplc="996AEB1E">
      <w:numFmt w:val="bullet"/>
      <w:lvlText w:val="•"/>
      <w:lvlJc w:val="left"/>
      <w:pPr>
        <w:ind w:left="8486" w:hanging="360"/>
      </w:pPr>
      <w:rPr>
        <w:rFonts w:hint="default"/>
      </w:rPr>
    </w:lvl>
  </w:abstractNum>
  <w:abstractNum w:abstractNumId="1" w15:restartNumberingAfterBreak="0">
    <w:nsid w:val="3C8C14D5"/>
    <w:multiLevelType w:val="hybridMultilevel"/>
    <w:tmpl w:val="AD344C50"/>
    <w:lvl w:ilvl="0" w:tplc="192C1970">
      <w:numFmt w:val="bullet"/>
      <w:lvlText w:val=""/>
      <w:lvlJc w:val="left"/>
      <w:pPr>
        <w:ind w:left="1437" w:hanging="360"/>
      </w:pPr>
      <w:rPr>
        <w:rFonts w:ascii="Symbol" w:eastAsia="Symbol" w:hAnsi="Symbol" w:cs="Symbol" w:hint="default"/>
        <w:w w:val="102"/>
        <w:sz w:val="21"/>
        <w:szCs w:val="21"/>
      </w:rPr>
    </w:lvl>
    <w:lvl w:ilvl="1" w:tplc="59B63438">
      <w:numFmt w:val="bullet"/>
      <w:lvlText w:val="•"/>
      <w:lvlJc w:val="left"/>
      <w:pPr>
        <w:ind w:left="2346" w:hanging="360"/>
      </w:pPr>
      <w:rPr>
        <w:rFonts w:hint="default"/>
      </w:rPr>
    </w:lvl>
    <w:lvl w:ilvl="2" w:tplc="998041D4">
      <w:numFmt w:val="bullet"/>
      <w:lvlText w:val="•"/>
      <w:lvlJc w:val="left"/>
      <w:pPr>
        <w:ind w:left="3252" w:hanging="360"/>
      </w:pPr>
      <w:rPr>
        <w:rFonts w:hint="default"/>
      </w:rPr>
    </w:lvl>
    <w:lvl w:ilvl="3" w:tplc="F7562C1E">
      <w:numFmt w:val="bullet"/>
      <w:lvlText w:val="•"/>
      <w:lvlJc w:val="left"/>
      <w:pPr>
        <w:ind w:left="4158" w:hanging="360"/>
      </w:pPr>
      <w:rPr>
        <w:rFonts w:hint="default"/>
      </w:rPr>
    </w:lvl>
    <w:lvl w:ilvl="4" w:tplc="CA7EFEC2">
      <w:numFmt w:val="bullet"/>
      <w:lvlText w:val="•"/>
      <w:lvlJc w:val="left"/>
      <w:pPr>
        <w:ind w:left="5064" w:hanging="360"/>
      </w:pPr>
      <w:rPr>
        <w:rFonts w:hint="default"/>
      </w:rPr>
    </w:lvl>
    <w:lvl w:ilvl="5" w:tplc="FDE0FF78">
      <w:numFmt w:val="bullet"/>
      <w:lvlText w:val="•"/>
      <w:lvlJc w:val="left"/>
      <w:pPr>
        <w:ind w:left="5970" w:hanging="360"/>
      </w:pPr>
      <w:rPr>
        <w:rFonts w:hint="default"/>
      </w:rPr>
    </w:lvl>
    <w:lvl w:ilvl="6" w:tplc="5F4EB2CE">
      <w:numFmt w:val="bullet"/>
      <w:lvlText w:val="•"/>
      <w:lvlJc w:val="left"/>
      <w:pPr>
        <w:ind w:left="6876" w:hanging="360"/>
      </w:pPr>
      <w:rPr>
        <w:rFonts w:hint="default"/>
      </w:rPr>
    </w:lvl>
    <w:lvl w:ilvl="7" w:tplc="00701722">
      <w:numFmt w:val="bullet"/>
      <w:lvlText w:val="•"/>
      <w:lvlJc w:val="left"/>
      <w:pPr>
        <w:ind w:left="7782" w:hanging="360"/>
      </w:pPr>
      <w:rPr>
        <w:rFonts w:hint="default"/>
      </w:rPr>
    </w:lvl>
    <w:lvl w:ilvl="8" w:tplc="F1FAAF4A">
      <w:numFmt w:val="bullet"/>
      <w:lvlText w:val="•"/>
      <w:lvlJc w:val="left"/>
      <w:pPr>
        <w:ind w:left="8688" w:hanging="360"/>
      </w:pPr>
      <w:rPr>
        <w:rFonts w:hint="default"/>
      </w:rPr>
    </w:lvl>
  </w:abstractNum>
  <w:abstractNum w:abstractNumId="2" w15:restartNumberingAfterBreak="0">
    <w:nsid w:val="6E6E4D9A"/>
    <w:multiLevelType w:val="hybridMultilevel"/>
    <w:tmpl w:val="95544B46"/>
    <w:lvl w:ilvl="0" w:tplc="095C6A4C">
      <w:start w:val="1"/>
      <w:numFmt w:val="decimal"/>
      <w:lvlText w:val="%1)"/>
      <w:lvlJc w:val="left"/>
      <w:pPr>
        <w:ind w:left="1437" w:hanging="360"/>
        <w:jc w:val="left"/>
      </w:pPr>
      <w:rPr>
        <w:rFonts w:ascii="Arial" w:eastAsia="Arial" w:hAnsi="Arial" w:cs="Arial" w:hint="default"/>
        <w:spacing w:val="0"/>
        <w:w w:val="102"/>
        <w:sz w:val="21"/>
        <w:szCs w:val="21"/>
      </w:rPr>
    </w:lvl>
    <w:lvl w:ilvl="1" w:tplc="744CFBAA">
      <w:start w:val="1"/>
      <w:numFmt w:val="lowerLetter"/>
      <w:lvlText w:val="%2."/>
      <w:lvlJc w:val="left"/>
      <w:pPr>
        <w:ind w:left="2157" w:hanging="360"/>
        <w:jc w:val="left"/>
      </w:pPr>
      <w:rPr>
        <w:rFonts w:ascii="Arial" w:eastAsia="Arial" w:hAnsi="Arial" w:cs="Arial" w:hint="default"/>
        <w:spacing w:val="0"/>
        <w:w w:val="102"/>
        <w:sz w:val="21"/>
        <w:szCs w:val="21"/>
      </w:rPr>
    </w:lvl>
    <w:lvl w:ilvl="2" w:tplc="5E1246E4">
      <w:numFmt w:val="bullet"/>
      <w:lvlText w:val="•"/>
      <w:lvlJc w:val="left"/>
      <w:pPr>
        <w:ind w:left="3086" w:hanging="360"/>
      </w:pPr>
      <w:rPr>
        <w:rFonts w:hint="default"/>
      </w:rPr>
    </w:lvl>
    <w:lvl w:ilvl="3" w:tplc="2C369DF6">
      <w:numFmt w:val="bullet"/>
      <w:lvlText w:val="•"/>
      <w:lvlJc w:val="left"/>
      <w:pPr>
        <w:ind w:left="4013" w:hanging="360"/>
      </w:pPr>
      <w:rPr>
        <w:rFonts w:hint="default"/>
      </w:rPr>
    </w:lvl>
    <w:lvl w:ilvl="4" w:tplc="52D636D8">
      <w:numFmt w:val="bullet"/>
      <w:lvlText w:val="•"/>
      <w:lvlJc w:val="left"/>
      <w:pPr>
        <w:ind w:left="4940" w:hanging="360"/>
      </w:pPr>
      <w:rPr>
        <w:rFonts w:hint="default"/>
      </w:rPr>
    </w:lvl>
    <w:lvl w:ilvl="5" w:tplc="68949234">
      <w:numFmt w:val="bullet"/>
      <w:lvlText w:val="•"/>
      <w:lvlJc w:val="left"/>
      <w:pPr>
        <w:ind w:left="5866" w:hanging="360"/>
      </w:pPr>
      <w:rPr>
        <w:rFonts w:hint="default"/>
      </w:rPr>
    </w:lvl>
    <w:lvl w:ilvl="6" w:tplc="74DCBEDA">
      <w:numFmt w:val="bullet"/>
      <w:lvlText w:val="•"/>
      <w:lvlJc w:val="left"/>
      <w:pPr>
        <w:ind w:left="6793" w:hanging="360"/>
      </w:pPr>
      <w:rPr>
        <w:rFonts w:hint="default"/>
      </w:rPr>
    </w:lvl>
    <w:lvl w:ilvl="7" w:tplc="26C008D0">
      <w:numFmt w:val="bullet"/>
      <w:lvlText w:val="•"/>
      <w:lvlJc w:val="left"/>
      <w:pPr>
        <w:ind w:left="7720" w:hanging="360"/>
      </w:pPr>
      <w:rPr>
        <w:rFonts w:hint="default"/>
      </w:rPr>
    </w:lvl>
    <w:lvl w:ilvl="8" w:tplc="4C8AE044">
      <w:numFmt w:val="bullet"/>
      <w:lvlText w:val="•"/>
      <w:lvlJc w:val="left"/>
      <w:pPr>
        <w:ind w:left="8646" w:hanging="3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F0434D"/>
    <w:rsid w:val="000826E4"/>
    <w:rsid w:val="004132B5"/>
    <w:rsid w:val="005460F2"/>
    <w:rsid w:val="00783421"/>
    <w:rsid w:val="00787046"/>
    <w:rsid w:val="009D17FA"/>
    <w:rsid w:val="00F043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46213A-CBE9-400D-AD1C-E76DAFE49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ind w:left="717"/>
      <w:outlineLvl w:val="0"/>
    </w:pPr>
    <w:rPr>
      <w:b/>
      <w:b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1"/>
      <w:szCs w:val="21"/>
    </w:rPr>
  </w:style>
  <w:style w:type="paragraph" w:styleId="Paragrafoelenco">
    <w:name w:val="List Paragraph"/>
    <w:basedOn w:val="Normale"/>
    <w:uiPriority w:val="1"/>
    <w:qFormat/>
    <w:pPr>
      <w:ind w:left="1437" w:hanging="360"/>
      <w:jc w:val="both"/>
    </w:pPr>
  </w:style>
  <w:style w:type="paragraph" w:customStyle="1" w:styleId="TableParagraph">
    <w:name w:val="Table Paragraph"/>
    <w:basedOn w:val="Normale"/>
    <w:uiPriority w:val="1"/>
    <w:qFormat/>
    <w:pPr>
      <w:spacing w:before="9"/>
      <w:ind w:left="109"/>
    </w:pPr>
  </w:style>
  <w:style w:type="paragraph" w:styleId="Intestazione">
    <w:name w:val="header"/>
    <w:basedOn w:val="Normale"/>
    <w:link w:val="IntestazioneCarattere"/>
    <w:uiPriority w:val="99"/>
    <w:unhideWhenUsed/>
    <w:rsid w:val="00787046"/>
    <w:pPr>
      <w:tabs>
        <w:tab w:val="center" w:pos="4819"/>
        <w:tab w:val="right" w:pos="9638"/>
      </w:tabs>
    </w:pPr>
  </w:style>
  <w:style w:type="character" w:customStyle="1" w:styleId="IntestazioneCarattere">
    <w:name w:val="Intestazione Carattere"/>
    <w:basedOn w:val="Carpredefinitoparagrafo"/>
    <w:link w:val="Intestazione"/>
    <w:uiPriority w:val="99"/>
    <w:rsid w:val="00787046"/>
    <w:rPr>
      <w:rFonts w:ascii="Arial" w:eastAsia="Arial" w:hAnsi="Arial" w:cs="Arial"/>
    </w:rPr>
  </w:style>
  <w:style w:type="paragraph" w:styleId="Pidipagina">
    <w:name w:val="footer"/>
    <w:basedOn w:val="Normale"/>
    <w:link w:val="PidipaginaCarattere"/>
    <w:uiPriority w:val="99"/>
    <w:unhideWhenUsed/>
    <w:rsid w:val="00787046"/>
    <w:pPr>
      <w:tabs>
        <w:tab w:val="center" w:pos="4819"/>
        <w:tab w:val="right" w:pos="9638"/>
      </w:tabs>
    </w:pPr>
  </w:style>
  <w:style w:type="character" w:customStyle="1" w:styleId="PidipaginaCarattere">
    <w:name w:val="Piè di pagina Carattere"/>
    <w:basedOn w:val="Carpredefinitoparagrafo"/>
    <w:link w:val="Pidipagina"/>
    <w:uiPriority w:val="99"/>
    <w:rsid w:val="00787046"/>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3046</Words>
  <Characters>17367</Characters>
  <Application>Microsoft Office Word</Application>
  <DocSecurity>0</DocSecurity>
  <Lines>144</Lines>
  <Paragraphs>40</Paragraphs>
  <ScaleCrop>false</ScaleCrop>
  <Company>Hewlett-Packard Company</Company>
  <LinksUpToDate>false</LinksUpToDate>
  <CharactersWithSpaces>20373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CASSANO_progetto dipartimento di eccellenza.docx</dc:title>
  <cp:lastModifiedBy>Matteo di Trani</cp:lastModifiedBy>
  <cp:revision>4</cp:revision>
  <dcterms:created xsi:type="dcterms:W3CDTF">2019-10-09T06:46:00Z</dcterms:created>
  <dcterms:modified xsi:type="dcterms:W3CDTF">2019-10-22T09:49:00Z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Word</vt:lpwstr>
  </property>
  <property fmtid="{D5CDD505-2E9C-101B-9397-08002B2CF9AE}" pid="4" name="LastSaved">
    <vt:filetime>2019-10-09T00:00:00Z</vt:filetime>
  </property>
</Properties>
</file>